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60"/>
        <w:jc w:val="both"/>
        <w:rPr>
          <w:rFonts w:hint="eastAsia" w:ascii="ＭＳ ゴシック" w:hAnsi="ＭＳ ゴシック" w:eastAsia="ＭＳ ゴシック"/>
          <w:color w:val="000000"/>
          <w:sz w:val="24"/>
        </w:rPr>
      </w:pPr>
    </w:p>
    <w:p>
      <w:pPr>
        <w:pStyle w:val="0"/>
        <w:jc w:val="center"/>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福祉サービス第三評価結果の公表様式〔</w:t>
      </w:r>
      <w:r>
        <w:rPr>
          <w:rFonts w:hint="eastAsia" w:ascii="ＭＳ ゴシック" w:hAnsi="ＭＳ ゴシック" w:eastAsia="ＭＳ ゴシック"/>
          <w:b w:val="1"/>
          <w:color w:val="000000" w:themeColor="text1"/>
          <w:kern w:val="2"/>
          <w:sz w:val="28"/>
          <w:shd w:val="clear" w:color="auto" w:fill="auto"/>
        </w:rPr>
        <w:t>幼保連携型認定こども園</w:t>
      </w:r>
      <w:r>
        <w:rPr>
          <w:rFonts w:hint="eastAsia" w:ascii="ＭＳ ゴシック" w:hAnsi="ＭＳ ゴシック" w:eastAsia="ＭＳ ゴシック"/>
          <w:b w:val="1"/>
          <w:color w:val="000000"/>
          <w:kern w:val="2"/>
          <w:sz w:val="28"/>
        </w:rPr>
        <w:t>〕</w:t>
      </w:r>
    </w:p>
    <w:p>
      <w:pPr>
        <w:pStyle w:val="0"/>
        <w:jc w:val="center"/>
        <w:rPr>
          <w:rFonts w:hint="eastAsia" w:ascii="ＭＳ ゴシック" w:hAnsi="ＭＳ ゴシック" w:eastAsia="ＭＳ ゴシック"/>
          <w:b w:val="1"/>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①第三者評価機関名</w:t>
      </w:r>
    </w:p>
    <w:tbl>
      <w:tblPr>
        <w:tblStyle w:val="11"/>
        <w:tblW w:w="4053"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053"/>
      </w:tblGrid>
      <w:tr>
        <w:trPr/>
        <w:tc>
          <w:tcPr>
            <w:tcW w:w="40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both"/>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②施設・事業所情報</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43"/>
        <w:gridCol w:w="3113"/>
        <w:gridCol w:w="714"/>
        <w:gridCol w:w="4048"/>
      </w:tblGrid>
      <w:tr>
        <w:trPr/>
        <w:tc>
          <w:tcPr>
            <w:tcW w:w="47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名称：</w:t>
            </w:r>
          </w:p>
        </w:tc>
        <w:tc>
          <w:tcPr>
            <w:tcW w:w="4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種別：</w:t>
            </w:r>
          </w:p>
        </w:tc>
      </w:tr>
      <w:tr>
        <w:trPr/>
        <w:tc>
          <w:tcPr>
            <w:tcW w:w="47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代表者氏名：</w:t>
            </w:r>
          </w:p>
        </w:tc>
        <w:tc>
          <w:tcPr>
            <w:tcW w:w="4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定員（利用人数）：　　　　　　　　名</w:t>
            </w:r>
          </w:p>
        </w:tc>
      </w:tr>
      <w:tr>
        <w:trPr/>
        <w:tc>
          <w:tcPr>
            <w:tcW w:w="95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所在地：　　　　　　　　　　　　　　　　　　　　　　　</w:t>
            </w:r>
          </w:p>
        </w:tc>
      </w:tr>
      <w:tr>
        <w:trPr/>
        <w:tc>
          <w:tcPr>
            <w:tcW w:w="47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TEL</w:t>
            </w:r>
            <w:r>
              <w:rPr>
                <w:rFonts w:hint="eastAsia" w:ascii="ＭＳ ゴシック" w:hAnsi="ＭＳ ゴシック" w:eastAsia="ＭＳ ゴシック"/>
                <w:color w:val="000000"/>
                <w:kern w:val="2"/>
                <w:sz w:val="24"/>
              </w:rPr>
              <w:t>：</w:t>
            </w:r>
          </w:p>
        </w:tc>
        <w:tc>
          <w:tcPr>
            <w:tcW w:w="4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ホームページ：</w:t>
            </w:r>
          </w:p>
        </w:tc>
      </w:tr>
      <w:tr>
        <w:trPr/>
        <w:tc>
          <w:tcPr>
            <w:tcW w:w="95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【施設・事業所の概要】</w:t>
            </w:r>
          </w:p>
        </w:tc>
      </w:tr>
      <w:tr>
        <w:trPr/>
        <w:tc>
          <w:tcPr>
            <w:tcW w:w="95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開設年月日</w:t>
            </w:r>
          </w:p>
        </w:tc>
      </w:tr>
      <w:tr>
        <w:trPr/>
        <w:tc>
          <w:tcPr>
            <w:tcW w:w="95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経営法人・設置主体（法人名等）：</w:t>
            </w:r>
          </w:p>
        </w:tc>
      </w:tr>
      <w:tr>
        <w:trPr/>
        <w:tc>
          <w:tcPr>
            <w:tcW w:w="1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職員数</w:t>
            </w: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常勤職員：　　　　　　　　名</w:t>
            </w:r>
          </w:p>
        </w:tc>
        <w:tc>
          <w:tcPr>
            <w:tcW w:w="4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非常勤職員　　　　　　　　名</w:t>
            </w:r>
          </w:p>
        </w:tc>
      </w:tr>
      <w:tr>
        <w:trPr/>
        <w:tc>
          <w:tcPr>
            <w:tcW w:w="16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専門職員</w:t>
            </w: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（専門職の名称）　　　　　名</w:t>
            </w:r>
          </w:p>
        </w:tc>
        <w:tc>
          <w:tcPr>
            <w:tcW w:w="4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rPr>
            </w:pPr>
          </w:p>
        </w:tc>
      </w:tr>
      <w:tr>
        <w:trPr>
          <w:trHeight w:val="70" w:hRule="atLeast"/>
        </w:trPr>
        <w:tc>
          <w:tcPr>
            <w:tcW w:w="16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rPr>
            </w:pPr>
          </w:p>
        </w:tc>
        <w:tc>
          <w:tcPr>
            <w:tcW w:w="4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rPr>
            </w:pPr>
          </w:p>
        </w:tc>
      </w:tr>
      <w:tr>
        <w:trPr/>
        <w:tc>
          <w:tcPr>
            <w:tcW w:w="16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rPr>
            </w:pPr>
          </w:p>
        </w:tc>
        <w:tc>
          <w:tcPr>
            <w:tcW w:w="4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rPr>
            </w:pPr>
          </w:p>
        </w:tc>
      </w:tr>
      <w:tr>
        <w:trPr/>
        <w:tc>
          <w:tcPr>
            <w:tcW w:w="16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施設・設備の概要</w:t>
            </w: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（居室数）</w:t>
            </w:r>
          </w:p>
        </w:tc>
        <w:tc>
          <w:tcPr>
            <w:tcW w:w="4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（設備等）</w:t>
            </w:r>
          </w:p>
        </w:tc>
      </w:tr>
      <w:tr>
        <w:trPr/>
        <w:tc>
          <w:tcPr>
            <w:tcW w:w="16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0" w:hanging="210" w:hangingChars="100"/>
              <w:jc w:val="both"/>
              <w:rPr>
                <w:rFonts w:hint="eastAsia" w:ascii="ＭＳ ゴシック" w:hAnsi="ＭＳ ゴシック" w:eastAsia="ＭＳ ゴシック"/>
                <w:color w:val="000000"/>
                <w:sz w:val="24"/>
              </w:rPr>
            </w:pP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4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both"/>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③理念・基本方針</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p>
            <w:pPr>
              <w:pStyle w:val="0"/>
              <w:jc w:val="both"/>
              <w:rPr>
                <w:rFonts w:hint="eastAsia" w:ascii="ＭＳ ゴシック" w:hAnsi="ＭＳ ゴシック" w:eastAsia="ＭＳ ゴシック"/>
                <w:color w:val="000000"/>
                <w:sz w:val="24"/>
              </w:rPr>
            </w:pPr>
          </w:p>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both"/>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④施設・事業所の特徴的な取組</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65"/>
              </w:tabs>
              <w:jc w:val="both"/>
              <w:rPr>
                <w:rFonts w:hint="eastAsia" w:ascii="ＭＳ ゴシック" w:hAnsi="ＭＳ ゴシック" w:eastAsia="ＭＳ ゴシック"/>
                <w:color w:val="000000"/>
                <w:sz w:val="24"/>
              </w:rPr>
            </w:pPr>
          </w:p>
          <w:p>
            <w:pPr>
              <w:pStyle w:val="0"/>
              <w:tabs>
                <w:tab w:val="left" w:leader="none" w:pos="1665"/>
              </w:tabs>
              <w:jc w:val="both"/>
              <w:rPr>
                <w:rFonts w:hint="eastAsia" w:ascii="ＭＳ ゴシック" w:hAnsi="ＭＳ ゴシック" w:eastAsia="ＭＳ ゴシック"/>
                <w:color w:val="000000"/>
                <w:sz w:val="24"/>
              </w:rPr>
            </w:pPr>
          </w:p>
          <w:p>
            <w:pPr>
              <w:pStyle w:val="0"/>
              <w:tabs>
                <w:tab w:val="left" w:leader="none" w:pos="1665"/>
              </w:tabs>
              <w:jc w:val="both"/>
              <w:rPr>
                <w:rFonts w:hint="eastAsia" w:ascii="ＭＳ ゴシック" w:hAnsi="ＭＳ ゴシック" w:eastAsia="ＭＳ ゴシック"/>
                <w:color w:val="000000"/>
                <w:sz w:val="24"/>
              </w:rPr>
            </w:pPr>
          </w:p>
          <w:p>
            <w:pPr>
              <w:pStyle w:val="0"/>
              <w:tabs>
                <w:tab w:val="left" w:leader="none" w:pos="1665"/>
              </w:tabs>
              <w:jc w:val="both"/>
              <w:rPr>
                <w:rFonts w:hint="eastAsia" w:ascii="ＭＳ ゴシック" w:hAnsi="ＭＳ ゴシック" w:eastAsia="ＭＳ ゴシック"/>
                <w:color w:val="000000"/>
                <w:sz w:val="24"/>
              </w:rPr>
            </w:pPr>
          </w:p>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left"/>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⑤第三者評価の受審状況</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44"/>
        <w:gridCol w:w="6174"/>
      </w:tblGrid>
      <w:tr>
        <w:trPr/>
        <w:tc>
          <w:tcPr>
            <w:tcW w:w="3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評価実施期間</w:t>
            </w:r>
          </w:p>
          <w:p>
            <w:pPr>
              <w:pStyle w:val="0"/>
              <w:jc w:val="left"/>
              <w:rPr>
                <w:rFonts w:hint="eastAsia" w:ascii="ＭＳ ゴシック" w:hAnsi="ＭＳ ゴシック" w:eastAsia="ＭＳ ゴシック"/>
                <w:color w:val="000000"/>
                <w:sz w:val="24"/>
              </w:rPr>
            </w:pPr>
          </w:p>
        </w:tc>
        <w:tc>
          <w:tcPr>
            <w:tcW w:w="6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年　月　日（契約日）　～</w:t>
            </w:r>
          </w:p>
          <w:p>
            <w:pPr>
              <w:pStyle w:val="0"/>
              <w:jc w:val="righ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年　月　日（評価結果確定日）</w:t>
            </w:r>
          </w:p>
        </w:tc>
      </w:tr>
      <w:tr>
        <w:trPr/>
        <w:tc>
          <w:tcPr>
            <w:tcW w:w="3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受審回数（前回の受審時期）</w:t>
            </w:r>
          </w:p>
        </w:tc>
        <w:tc>
          <w:tcPr>
            <w:tcW w:w="6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回（　　　　　年度）</w:t>
            </w:r>
          </w:p>
        </w:tc>
      </w:tr>
    </w:tbl>
    <w:p>
      <w:pPr>
        <w:pStyle w:val="0"/>
        <w:ind w:left="420" w:leftChars="100" w:hanging="210" w:hanging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br w:type="page"/>
      </w:r>
      <w:r>
        <w:rPr>
          <w:rFonts w:hint="eastAsia" w:ascii="ＭＳ ゴシック" w:hAnsi="ＭＳ ゴシック" w:eastAsia="ＭＳ ゴシック"/>
          <w:color w:val="000000"/>
          <w:kern w:val="2"/>
          <w:sz w:val="24"/>
        </w:rPr>
        <w:t>⑥総評</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◇特に評価の高い点</w:t>
            </w: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◇改善を求められる点</w:t>
            </w: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tc>
      </w:tr>
    </w:tbl>
    <w:p>
      <w:pPr>
        <w:pStyle w:val="0"/>
        <w:ind w:left="420" w:leftChars="100" w:hanging="210" w:hangingChars="100"/>
        <w:jc w:val="left"/>
        <w:rPr>
          <w:rFonts w:hint="eastAsia" w:ascii="ＭＳ ゴシック" w:hAnsi="ＭＳ ゴシック" w:eastAsia="ＭＳ ゴシック"/>
          <w:color w:val="000000"/>
          <w:sz w:val="24"/>
        </w:rPr>
      </w:pPr>
    </w:p>
    <w:p>
      <w:pPr>
        <w:pStyle w:val="0"/>
        <w:ind w:left="420" w:leftChars="100" w:hanging="210" w:hanging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⑦第三者評価結果に対する施設・事業所のコメント</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tc>
      </w:tr>
    </w:tbl>
    <w:p>
      <w:pPr>
        <w:pStyle w:val="0"/>
        <w:ind w:left="420" w:leftChars="100" w:hanging="210" w:hangingChars="100"/>
        <w:jc w:val="left"/>
        <w:rPr>
          <w:rFonts w:hint="eastAsia" w:ascii="ＭＳ ゴシック" w:hAnsi="ＭＳ ゴシック" w:eastAsia="ＭＳ ゴシック"/>
          <w:color w:val="000000"/>
          <w:sz w:val="24"/>
        </w:rPr>
      </w:pPr>
    </w:p>
    <w:p>
      <w:pPr>
        <w:pStyle w:val="0"/>
        <w:ind w:left="420" w:leftChars="100" w:hanging="210" w:hanging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⑧第三者評価結果</w:t>
      </w:r>
    </w:p>
    <w:p>
      <w:pPr>
        <w:pStyle w:val="0"/>
        <w:ind w:left="420" w:leftChars="100" w:hanging="210" w:hanging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　　別紙の「第三者評価結果」に記載している事項について公表する。</w:t>
      </w:r>
    </w:p>
    <w:p>
      <w:pPr>
        <w:pStyle w:val="0"/>
        <w:spacing w:line="20" w:lineRule="exact"/>
        <w:ind w:left="420" w:leftChars="100" w:hanging="210" w:hanging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br w:type="page"/>
      </w:r>
    </w:p>
    <w:p>
      <w:pPr>
        <w:pStyle w:val="0"/>
        <w:jc w:val="righ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（別紙）</w:t>
      </w:r>
    </w:p>
    <w:p>
      <w:pPr>
        <w:pStyle w:val="0"/>
        <w:spacing w:line="400" w:lineRule="exact"/>
        <w:ind w:left="420" w:leftChars="100" w:hanging="210" w:hangingChars="100"/>
        <w:jc w:val="center"/>
        <w:rPr>
          <w:rFonts w:hint="eastAsia" w:ascii="ＭＳ ゴシック" w:hAnsi="ＭＳ ゴシック" w:eastAsia="ＭＳ ゴシック"/>
          <w:color w:val="000000"/>
          <w:sz w:val="36"/>
        </w:rPr>
      </w:pPr>
      <w:r>
        <w:rPr>
          <w:rFonts w:hint="eastAsia" w:ascii="ＭＳ ゴシック" w:hAnsi="ＭＳ ゴシック" w:eastAsia="ＭＳ ゴシック"/>
          <w:color w:val="000000"/>
          <w:kern w:val="2"/>
          <w:sz w:val="36"/>
        </w:rPr>
        <w:t>第三者評価結果〔</w:t>
      </w:r>
      <w:r>
        <w:rPr>
          <w:rFonts w:hint="eastAsia" w:ascii="ＭＳ ゴシック" w:hAnsi="ＭＳ ゴシック" w:eastAsia="ＭＳ ゴシック"/>
          <w:color w:val="000000" w:themeColor="text1"/>
          <w:kern w:val="2"/>
          <w:sz w:val="36"/>
          <w:shd w:val="clear" w:color="auto" w:fill="auto"/>
        </w:rPr>
        <w:t>幼保連携型認定こども園</w:t>
      </w:r>
      <w:r>
        <w:rPr>
          <w:rFonts w:hint="eastAsia" w:ascii="ＭＳ ゴシック" w:hAnsi="ＭＳ ゴシック" w:eastAsia="ＭＳ ゴシック"/>
          <w:color w:val="000000"/>
          <w:kern w:val="2"/>
          <w:sz w:val="36"/>
        </w:rPr>
        <w:t>〕</w:t>
      </w:r>
    </w:p>
    <w:p>
      <w:pPr>
        <w:pStyle w:val="0"/>
        <w:jc w:val="both"/>
        <w:rPr>
          <w:rFonts w:hint="eastAsia" w:ascii="ＭＳ ゴシック" w:hAnsi="ＭＳ ゴシック" w:eastAsia="ＭＳ ゴシック"/>
          <w:color w:val="000000"/>
          <w:sz w:val="24"/>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-64770</wp:posOffset>
                </wp:positionH>
                <wp:positionV relativeFrom="paragraph">
                  <wp:posOffset>14605</wp:posOffset>
                </wp:positionV>
                <wp:extent cx="6267450" cy="1143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67450" cy="1143000"/>
                        </a:xfrm>
                        <a:prstGeom prst="rect">
                          <a:avLst/>
                        </a:prstGeom>
                        <a:noFill/>
                        <a:ln w="9525">
                          <a:solidFill>
                            <a:sysClr val="windowText" lastClr="000000"/>
                          </a:solidFill>
                          <a:miter/>
                        </a:ln>
                      </wps:spPr>
                      <wps:bodyPr/>
                    </wps:wsp>
                  </a:graphicData>
                </a:graphic>
              </wp:anchor>
            </w:drawing>
          </mc:Choice>
          <mc:Fallback>
            <w:pict>
              <v:rect id="オブジェクト 0" style="margin-top:1.1399999999999999pt;mso-position-vertical-relative:text;mso-position-horizontal-relative:text;position:absolute;height:90pt;width:493.5pt;margin-left:-5.09pt;z-index:2;" o:spid="_x0000_s1026" o:allowincell="t" o:allowoverlap="t" filled="f" stroked="t" strokecolor="#000000" strokeweight="0.75pt" o:spt="1">
                <v:fill/>
                <v:stroke filltype="solid"/>
                <v:textbox style="layout-flow:horizontal;"/>
                <v:imagedata o:title=""/>
                <w10:wrap type="none" anchorx="text" anchory="text"/>
              </v:rect>
            </w:pict>
          </mc:Fallback>
        </mc:AlternateContent>
      </w: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80010</wp:posOffset>
                </wp:positionH>
                <wp:positionV relativeFrom="paragraph">
                  <wp:posOffset>210185</wp:posOffset>
                </wp:positionV>
                <wp:extent cx="5983605" cy="70040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83605" cy="700405"/>
                        </a:xfrm>
                        <a:prstGeom prst="rect">
                          <a:avLst/>
                        </a:prstGeom>
                        <a:noFill/>
                        <a:ln w="12700">
                          <a:solidFill>
                            <a:sysClr val="windowText" lastClr="000000"/>
                          </a:solidFill>
                          <a:prstDash val="sysDot"/>
                          <a:miter/>
                        </a:ln>
                      </wps:spPr>
                      <wps:bodyPr/>
                    </wps:wsp>
                  </a:graphicData>
                </a:graphic>
              </wp:anchor>
            </w:drawing>
          </mc:Choice>
          <mc:Fallback>
            <w:pict>
              <v:rect id="オブジェクト 0" style="margin-top:16.55pt;mso-position-vertical-relative:text;mso-position-horizontal-relative:text;position:absolute;height:55.15pt;width:471.15pt;margin-left:6.3pt;z-index:3;" o:spid="_x0000_s1027" o:allowincell="t" o:allowoverlap="t" filled="f" stroked="t" strokecolor="#000000" strokeweight="1pt" o:spt="1">
                <v:fill/>
                <v:stroke dashstyle="shortdot" filltype="solid"/>
                <v:textbox style="layout-flow:horizontal;"/>
                <v:imagedata o:title=""/>
                <w10:wrap type="none" anchorx="text" anchory="text"/>
              </v:rect>
            </w:pict>
          </mc:Fallback>
        </mc:AlternateContent>
      </w:r>
      <w:r>
        <w:rPr>
          <w:rFonts w:hint="eastAsia" w:ascii="ＭＳ ゴシック" w:hAnsi="ＭＳ ゴシック" w:eastAsia="ＭＳ ゴシック"/>
          <w:color w:val="000000"/>
          <w:kern w:val="2"/>
          <w:sz w:val="22"/>
        </w:rPr>
        <w:t>※すべての評価細目について、判断基準（</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r>
        <w:rPr>
          <w:rFonts w:hint="eastAsia" w:ascii="ＭＳ ゴシック" w:hAnsi="ＭＳ ゴシック" w:eastAsia="ＭＳ ゴシック"/>
          <w:color w:val="000000"/>
          <w:kern w:val="2"/>
          <w:sz w:val="22"/>
        </w:rPr>
        <w:t>の</w:t>
      </w:r>
      <w:r>
        <w:rPr>
          <w:rFonts w:hint="eastAsia" w:ascii="ＭＳ ゴシック" w:hAnsi="ＭＳ ゴシック" w:eastAsia="ＭＳ ゴシック"/>
          <w:color w:val="000000"/>
          <w:kern w:val="2"/>
          <w:sz w:val="22"/>
        </w:rPr>
        <w:t>3</w:t>
      </w:r>
      <w:r>
        <w:rPr>
          <w:rFonts w:hint="eastAsia" w:ascii="ＭＳ ゴシック" w:hAnsi="ＭＳ ゴシック" w:eastAsia="ＭＳ ゴシック"/>
          <w:color w:val="000000"/>
          <w:kern w:val="2"/>
          <w:sz w:val="22"/>
        </w:rPr>
        <w:t>段階）に基づいた評価結果を表示する。</w:t>
      </w:r>
    </w:p>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評価…よりよい</w:t>
      </w:r>
      <w:r>
        <w:rPr>
          <w:rFonts w:hint="eastAsia" w:ascii="ＭＳ ゴシック" w:hAnsi="ＭＳ ゴシック" w:eastAsia="ＭＳ ゴシック"/>
          <w:b w:val="1"/>
          <w:i w:val="0"/>
          <w:color w:val="000000" w:themeColor="text1"/>
          <w:kern w:val="2"/>
          <w:sz w:val="22"/>
          <w:shd w:val="clear" w:color="auto" w:fill="auto"/>
        </w:rPr>
        <w:t>教育・福祉サービス</w:t>
      </w:r>
      <w:r>
        <w:rPr>
          <w:rFonts w:hint="eastAsia" w:ascii="ＭＳ ゴシック" w:hAnsi="ＭＳ ゴシック" w:eastAsia="ＭＳ ゴシック"/>
          <w:color w:val="000000"/>
          <w:kern w:val="2"/>
          <w:sz w:val="22"/>
        </w:rPr>
        <w:t>の水準・状態、質の向上を目指す際に目安とする状態</w:t>
      </w:r>
    </w:p>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評価…</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に至らない状況、多くの施設・事業所の状態、｢</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｣に向けた取組みの余地がある状態</w:t>
      </w:r>
    </w:p>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color w:val="000000"/>
          <w:kern w:val="2"/>
          <w:sz w:val="22"/>
        </w:rPr>
        <w:t>c</w:t>
      </w:r>
      <w:r>
        <w:rPr>
          <w:rFonts w:hint="eastAsia" w:ascii="ＭＳ ゴシック" w:hAnsi="ＭＳ ゴシック" w:eastAsia="ＭＳ ゴシック"/>
          <w:color w:val="000000"/>
          <w:kern w:val="2"/>
          <w:sz w:val="22"/>
        </w:rPr>
        <w:t>評価…</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以上の取組みとなることを期待する状態</w:t>
      </w:r>
    </w:p>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2"/>
        </w:rPr>
        <w:t>※評価細目毎に第三者評価機関の判定理由等のコメントを記述する。</w:t>
      </w:r>
    </w:p>
    <w:p>
      <w:pPr>
        <w:pStyle w:val="0"/>
        <w:jc w:val="both"/>
        <w:rPr>
          <w:rFonts w:hint="eastAsia" w:ascii="ＭＳ ゴシック" w:hAnsi="ＭＳ ゴシック" w:eastAsia="ＭＳ ゴシック"/>
          <w:b w:val="1"/>
          <w:color w:val="000000"/>
          <w:sz w:val="28"/>
          <w:bdr w:val="single" w:color="auto" w:sz="4" w:space="0"/>
        </w:rPr>
      </w:pPr>
      <w:r>
        <w:rPr>
          <w:rFonts w:hint="eastAsia" w:ascii="ＭＳ ゴシック" w:hAnsi="ＭＳ ゴシック" w:eastAsia="ＭＳ ゴシック"/>
          <w:b w:val="1"/>
          <w:color w:val="000000" w:themeColor="text1"/>
          <w:kern w:val="2"/>
          <w:sz w:val="28"/>
          <w:bdr w:val="single" w:color="auto" w:sz="4" w:space="0"/>
          <w:shd w:val="clear" w:color="auto" w:fill="auto"/>
        </w:rPr>
        <w:t>幼保連携型認定こども園版共通評価基準</w:t>
      </w: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　評価対象Ⅰ　</w:t>
      </w:r>
      <w:r>
        <w:rPr>
          <w:rFonts w:hint="eastAsia" w:ascii="ＭＳ ゴシック" w:hAnsi="ＭＳ ゴシック" w:eastAsia="ＭＳ ゴシック"/>
          <w:b w:val="1"/>
          <w:i w:val="0"/>
          <w:color w:val="000000" w:themeColor="text1"/>
          <w:kern w:val="2"/>
          <w:sz w:val="28"/>
          <w:shd w:val="clear" w:color="auto" w:fill="auto"/>
        </w:rPr>
        <w:t>教育・福祉サービス</w:t>
      </w:r>
      <w:r>
        <w:rPr>
          <w:rFonts w:hint="eastAsia" w:ascii="ＭＳ ゴシック" w:hAnsi="ＭＳ ゴシック" w:eastAsia="ＭＳ ゴシック"/>
          <w:b w:val="1"/>
          <w:color w:val="000000"/>
          <w:kern w:val="2"/>
          <w:sz w:val="28"/>
        </w:rPr>
        <w:t>の基本方針と組織</w:t>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１　理念・基本方針</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　理念、基本方針が確立・周知されている。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-1-</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理念、基本方針が明文化され周知が図られている。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390"/>
        </w:tabs>
        <w:spacing w:line="240" w:lineRule="exact"/>
        <w:jc w:val="both"/>
        <w:rPr>
          <w:rFonts w:hint="eastAsia" w:ascii="ＭＳ ゴシック" w:hAnsi="ＭＳ ゴシック" w:eastAsia="ＭＳ ゴシック"/>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２　経営状況の把握</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　経営環境の変化等に適切に対応している。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事業経営をとりまく環境と経営状況が的確に把握・分析されている。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経営課題を明確にし、具体的な取り組みを進めている。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spacing w:line="240" w:lineRule="exact"/>
        <w:jc w:val="both"/>
        <w:rPr>
          <w:rFonts w:hint="eastAsia" w:ascii="HG丸ｺﾞｼｯｸM-PRO" w:hAnsi="HG丸ｺﾞｼｯｸM-PRO" w:eastAsia="HG丸ｺﾞｼｯｸM-PRO"/>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３　事業計画の策定</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中・長期的なビジョンと計画が明確にされている。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4</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中・長期的なビジョンを明確にした計画が策定されている。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5</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中・長期計画を踏まえた単年度の計画が策定されている。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0" w:lineRule="exact"/>
        <w:jc w:val="both"/>
        <w:rPr>
          <w:rFonts w:hint="default"/>
          <w:color w:val="000000"/>
        </w:rPr>
      </w:pPr>
    </w:p>
    <w:p>
      <w:pPr>
        <w:pStyle w:val="0"/>
        <w:spacing w:line="240" w:lineRule="exact"/>
        <w:jc w:val="both"/>
        <w:rPr>
          <w:rFonts w:hint="default"/>
          <w:color w:val="000000"/>
        </w:rPr>
      </w:pPr>
      <w:r>
        <w:rPr>
          <w:rFonts w:hint="eastAsia" w:ascii="Century" w:hAnsi="Century" w:eastAsia="ＭＳ 明朝"/>
          <w:color w:val="000000"/>
          <w:kern w:val="2"/>
          <w:sz w:val="21"/>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事業計画が適切に策定されている。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6</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事業計画の策定と実施状況の把握や評価・見直しが組織的に行われ、職員が理解している。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7</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事業計画は、保護者等に周知され、理解を促している。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４　</w:t>
      </w:r>
      <w:r>
        <w:rPr>
          <w:rFonts w:hint="eastAsia" w:ascii="ＭＳ ゴシック" w:hAnsi="ＭＳ ゴシック" w:eastAsia="ＭＳ ゴシック"/>
          <w:b w:val="1"/>
          <w:color w:val="000000" w:themeColor="text1"/>
          <w:kern w:val="2"/>
          <w:sz w:val="24"/>
          <w:u w:val="none" w:color="auto"/>
          <w:shd w:val="clear" w:color="auto" w:fill="auto"/>
        </w:rPr>
        <w:t>教育・福祉サービス</w:t>
      </w:r>
      <w:r>
        <w:rPr>
          <w:rFonts w:hint="eastAsia" w:ascii="ＭＳ ゴシック" w:hAnsi="ＭＳ ゴシック" w:eastAsia="ＭＳ ゴシック"/>
          <w:b w:val="1"/>
          <w:color w:val="000000"/>
          <w:kern w:val="2"/>
          <w:sz w:val="24"/>
        </w:rPr>
        <w:t>の質の向上への組織的・計画的な取組</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質の向上に向けた取組が組織的・計画的に行われている。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8</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教育・保育</w:t>
            </w:r>
            <w:r>
              <w:rPr>
                <w:rFonts w:hint="eastAsia" w:ascii="ＭＳ ゴシック" w:hAnsi="ＭＳ ゴシック" w:eastAsia="ＭＳ ゴシック"/>
                <w:color w:val="000000"/>
                <w:kern w:val="2"/>
                <w:sz w:val="22"/>
              </w:rPr>
              <w:t>の質の向上に向けた取組が組織的に行われ、機能している。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9</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評価結果にもとづき</w:t>
            </w:r>
            <w:r>
              <w:rPr>
                <w:rFonts w:hint="eastAsia" w:ascii="ＭＳ ゴシック" w:hAnsi="ＭＳ ゴシック" w:eastAsia="ＭＳ ゴシック"/>
                <w:b w:val="0"/>
                <w:color w:val="000000" w:themeColor="text1"/>
                <w:kern w:val="2"/>
                <w:sz w:val="22"/>
                <w:shd w:val="clear" w:color="auto" w:fill="auto"/>
              </w:rPr>
              <w:t>幼保連携型認定こども園と</w:t>
            </w:r>
            <w:r>
              <w:rPr>
                <w:rFonts w:hint="eastAsia" w:ascii="ＭＳ ゴシック" w:hAnsi="ＭＳ ゴシック" w:eastAsia="ＭＳ ゴシック"/>
                <w:color w:val="000000"/>
                <w:kern w:val="2"/>
                <w:sz w:val="22"/>
              </w:rPr>
              <w:t>して取組むべき課題を明確にし、計画的な改善策を実施している。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評価対象Ⅱ　組織の運営管理</w:t>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１　管理者の責任とリーダーシップ</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管理者の責任が明確にされている。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10</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施設長は、自らの役割と責任を職員に対して表明し理解を図っている。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11</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遵守すべき法令等を正しく理解するための取組を行っている。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管理者のリーダーシップが発揮されている。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12</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教育・保育</w:t>
            </w:r>
            <w:r>
              <w:rPr>
                <w:rFonts w:hint="eastAsia" w:ascii="ＭＳ ゴシック" w:hAnsi="ＭＳ ゴシック" w:eastAsia="ＭＳ ゴシック"/>
                <w:color w:val="000000"/>
                <w:kern w:val="2"/>
                <w:sz w:val="22"/>
              </w:rPr>
              <w:t>の質の向上に意欲をもち、その取組に指導力を発揮している。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0" w:lineRule="exact"/>
        <w:jc w:val="both"/>
        <w:rPr>
          <w:rFonts w:hint="default"/>
          <w:color w:val="000000"/>
        </w:rPr>
      </w:pPr>
    </w:p>
    <w:p>
      <w:pPr>
        <w:pStyle w:val="0"/>
        <w:spacing w:line="240" w:lineRule="exact"/>
        <w:jc w:val="both"/>
        <w:rPr>
          <w:rFonts w:hint="default"/>
          <w:color w:val="000000"/>
        </w:rPr>
      </w:pPr>
      <w:r>
        <w:rPr>
          <w:rFonts w:hint="eastAsia" w:ascii="Century" w:hAnsi="Century" w:eastAsia="ＭＳ 明朝"/>
          <w:color w:val="000000"/>
          <w:kern w:val="2"/>
          <w:sz w:val="21"/>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13</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経営の改善や業務の実行性を高める取組に指導力を発揮している。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２　</w:t>
      </w:r>
      <w:r>
        <w:rPr>
          <w:rFonts w:hint="eastAsia" w:ascii="ＭＳ ゴシック" w:hAnsi="ＭＳ ゴシック" w:eastAsia="ＭＳ ゴシック"/>
          <w:b w:val="1"/>
          <w:color w:val="000000" w:themeColor="text1"/>
          <w:kern w:val="2"/>
          <w:sz w:val="24"/>
          <w:shd w:val="clear" w:color="auto" w:fill="auto"/>
        </w:rPr>
        <w:t>人材</w:t>
      </w:r>
      <w:r>
        <w:rPr>
          <w:rFonts w:hint="eastAsia" w:ascii="ＭＳ ゴシック" w:hAnsi="ＭＳ ゴシック" w:eastAsia="ＭＳ ゴシック"/>
          <w:b w:val="1"/>
          <w:color w:val="000000"/>
          <w:kern w:val="2"/>
          <w:sz w:val="24"/>
        </w:rPr>
        <w:t>の確保・育成</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b w:val="0"/>
                <w:color w:val="000000" w:themeColor="text1"/>
                <w:kern w:val="2"/>
                <w:sz w:val="22"/>
                <w:shd w:val="clear" w:color="auto" w:fill="auto"/>
              </w:rPr>
              <w:t>人材</w:t>
            </w:r>
            <w:r>
              <w:rPr>
                <w:rFonts w:hint="eastAsia" w:ascii="ＭＳ ゴシック" w:hAnsi="ＭＳ ゴシック" w:eastAsia="ＭＳ ゴシック"/>
                <w:color w:val="000000"/>
                <w:kern w:val="2"/>
                <w:sz w:val="22"/>
              </w:rPr>
              <w:t>の確保・育成計画、人事管理の体制が整備されている。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14</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必要な</w:t>
            </w:r>
            <w:r>
              <w:rPr>
                <w:rFonts w:hint="eastAsia" w:ascii="ＭＳ ゴシック" w:hAnsi="ＭＳ ゴシック" w:eastAsia="ＭＳ ゴシック"/>
                <w:b w:val="0"/>
                <w:color w:val="000000" w:themeColor="text1"/>
                <w:kern w:val="2"/>
                <w:sz w:val="22"/>
                <w:shd w:val="clear" w:color="auto" w:fill="auto"/>
              </w:rPr>
              <w:t>人材</w:t>
            </w:r>
            <w:r>
              <w:rPr>
                <w:rFonts w:hint="eastAsia" w:ascii="ＭＳ ゴシック" w:hAnsi="ＭＳ ゴシック" w:eastAsia="ＭＳ ゴシック"/>
                <w:color w:val="000000"/>
                <w:kern w:val="2"/>
                <w:sz w:val="22"/>
              </w:rPr>
              <w:t>の確保・定着等に関する具体的な計画が確立し、取組が実施されている。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15</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総合的な人事管理が行われている。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職員の就業状況に配慮がなされている。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16</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職員の就業状況や意向を把握し、働きやすい職場づくりに取組んでいる。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ind w:left="1593" w:hanging="1520" w:hangingChars="724"/>
              <w:jc w:val="both"/>
              <w:rPr>
                <w:rFonts w:hint="eastAsia"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職員の質の向上に向けた体制が確立されている。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17</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職員一人ひとりの育成に向けた取組を行っている。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18</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職員の教育・研修に関する基本方針や計画が策定され、教育・研修が実施されている。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ゴシック" w:hAnsi="ＭＳ ゴシック" w:eastAsia="ＭＳ ゴシック"/>
                <w:color w:val="000000"/>
                <w:sz w:val="22"/>
                <w:bdr w:val="single" w:color="auto" w:sz="4" w:space="0"/>
              </w:rPr>
            </w:pPr>
            <w:r>
              <w:rPr>
                <w:rFonts w:hint="eastAsia" w:ascii="ＭＳ ゴシック" w:hAnsi="ＭＳ ゴシック" w:eastAsia="ＭＳ ゴシック"/>
                <w:color w:val="000000"/>
                <w:kern w:val="2"/>
                <w:sz w:val="22"/>
                <w:bdr w:val="single" w:color="auto" w:sz="4" w:space="0"/>
              </w:rPr>
              <w:t>19</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職員一人ひとりの教育・研修の機会が確保されている。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right="0" w:rightChars="0" w:hanging="1311" w:hangingChars="596"/>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実習生等の</w:t>
            </w:r>
            <w:r>
              <w:rPr>
                <w:rFonts w:hint="eastAsia" w:ascii="ＭＳ ゴシック" w:hAnsi="ＭＳ ゴシック" w:eastAsia="ＭＳ ゴシック"/>
                <w:b w:val="0"/>
                <w:color w:val="000000" w:themeColor="text1"/>
                <w:kern w:val="2"/>
                <w:sz w:val="22"/>
                <w:u w:val="none" w:color="auto"/>
                <w:shd w:val="clear" w:color="auto" w:fill="auto"/>
              </w:rPr>
              <w:t>教育・福祉サービス</w:t>
            </w:r>
            <w:r>
              <w:rPr>
                <w:rFonts w:hint="eastAsia" w:ascii="ＭＳ ゴシック" w:hAnsi="ＭＳ ゴシック" w:eastAsia="ＭＳ ゴシック"/>
                <w:color w:val="000000"/>
                <w:kern w:val="2"/>
                <w:sz w:val="22"/>
              </w:rPr>
              <w:t>に関わる専門職の研修・育成が適切に行われている。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20</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実習生等の</w:t>
            </w:r>
            <w:r>
              <w:rPr>
                <w:rFonts w:hint="eastAsia" w:ascii="ＭＳ ゴシック" w:hAnsi="ＭＳ ゴシック" w:eastAsia="ＭＳ ゴシック"/>
                <w:b w:val="0"/>
                <w:color w:val="000000" w:themeColor="text1"/>
                <w:kern w:val="2"/>
                <w:sz w:val="22"/>
                <w:shd w:val="clear" w:color="auto" w:fill="auto"/>
              </w:rPr>
              <w:t>教育・保育</w:t>
            </w:r>
            <w:r>
              <w:rPr>
                <w:rFonts w:hint="eastAsia" w:ascii="ＭＳ ゴシック" w:hAnsi="ＭＳ ゴシック" w:eastAsia="ＭＳ ゴシック"/>
                <w:color w:val="000000"/>
                <w:kern w:val="2"/>
                <w:sz w:val="22"/>
              </w:rPr>
              <w:t>に関わる専門職の教育・育成について体制を整備し、積極的な取組をしている。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widowControl w:val="1"/>
        <w:spacing w:line="240" w:lineRule="exact"/>
        <w:jc w:val="left"/>
        <w:rPr>
          <w:rFonts w:hint="eastAsia"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kern w:val="2"/>
          <w:sz w:val="24"/>
        </w:rPr>
        <w:br w:type="page"/>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３　運営の透明性の確保</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運営の透明性を確保するための取組が行われている。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21</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運営の透明性を確保するための情報公開が行われている。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22</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公正かつ透明性の高い適正な経営・運営のための取組が行われている。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ind w:left="1593" w:hanging="1520" w:hangingChars="724"/>
        <w:jc w:val="both"/>
        <w:rPr>
          <w:rFonts w:hint="eastAsia" w:ascii="ＭＳ ゴシック" w:hAnsi="ＭＳ ゴシック" w:eastAsia="ＭＳ ゴシック"/>
          <w:color w:val="000000"/>
          <w:sz w:val="22"/>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４　地域との交流、地域貢献</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地域との関係が適切に確保されている。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23</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園児</w:t>
            </w:r>
            <w:r>
              <w:rPr>
                <w:rFonts w:hint="eastAsia" w:ascii="ＭＳ ゴシック" w:hAnsi="ＭＳ ゴシック" w:eastAsia="ＭＳ ゴシック"/>
                <w:color w:val="000000"/>
                <w:kern w:val="2"/>
                <w:sz w:val="22"/>
              </w:rPr>
              <w:t>と地域との交流を広げるための取組を行っている。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24</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ボランティア等の受入れに対する基本姿勢を明確にし体制を確立している。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関係機関との連携が確保されている。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25</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幼保連携型認定こども園</w:t>
            </w:r>
            <w:r>
              <w:rPr>
                <w:rFonts w:hint="eastAsia" w:ascii="ＭＳ ゴシック" w:hAnsi="ＭＳ ゴシック" w:eastAsia="ＭＳ ゴシック"/>
                <w:color w:val="000000"/>
                <w:kern w:val="2"/>
                <w:sz w:val="22"/>
              </w:rPr>
              <w:t>として必要な社会資源を明確にし、関係機関等との連携が適切に行われている。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ind w:left="1593" w:hanging="1520" w:hangingChars="724"/>
              <w:jc w:val="both"/>
              <w:rPr>
                <w:rFonts w:hint="eastAsia"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地域の</w:t>
            </w:r>
            <w:r>
              <w:rPr>
                <w:rFonts w:hint="eastAsia" w:ascii="ＭＳ ゴシック" w:hAnsi="ＭＳ ゴシック" w:eastAsia="ＭＳ ゴシック"/>
                <w:b w:val="0"/>
                <w:color w:val="000000" w:themeColor="text1"/>
                <w:kern w:val="2"/>
                <w:sz w:val="22"/>
                <w:shd w:val="clear" w:color="auto" w:fill="auto"/>
              </w:rPr>
              <w:t>教育・福祉</w:t>
            </w:r>
            <w:r>
              <w:rPr>
                <w:rFonts w:hint="eastAsia" w:ascii="ＭＳ ゴシック" w:hAnsi="ＭＳ ゴシック" w:eastAsia="ＭＳ ゴシック"/>
                <w:color w:val="000000"/>
                <w:kern w:val="2"/>
                <w:sz w:val="22"/>
              </w:rPr>
              <w:t>向上のための取組を行っている。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26</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地域の</w:t>
            </w:r>
            <w:r>
              <w:rPr>
                <w:rFonts w:hint="eastAsia" w:ascii="ＭＳ ゴシック" w:hAnsi="ＭＳ ゴシック" w:eastAsia="ＭＳ ゴシック"/>
                <w:b w:val="0"/>
                <w:color w:val="000000" w:themeColor="text1"/>
                <w:kern w:val="2"/>
                <w:sz w:val="22"/>
                <w:shd w:val="clear" w:color="auto" w:fill="auto"/>
              </w:rPr>
              <w:t>教育・福祉ニーズ</w:t>
            </w:r>
            <w:r>
              <w:rPr>
                <w:rFonts w:hint="eastAsia" w:ascii="ＭＳ ゴシック" w:hAnsi="ＭＳ ゴシック" w:eastAsia="ＭＳ ゴシック"/>
                <w:color w:val="000000"/>
                <w:kern w:val="2"/>
                <w:sz w:val="22"/>
              </w:rPr>
              <w:t>等を把握するための取組が行われている。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27</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地域の</w:t>
            </w:r>
            <w:r>
              <w:rPr>
                <w:rFonts w:hint="eastAsia" w:ascii="ＭＳ ゴシック" w:hAnsi="ＭＳ ゴシック" w:eastAsia="ＭＳ ゴシック"/>
                <w:b w:val="0"/>
                <w:color w:val="000000" w:themeColor="text1"/>
                <w:kern w:val="2"/>
                <w:sz w:val="22"/>
                <w:shd w:val="clear" w:color="auto" w:fill="auto"/>
              </w:rPr>
              <w:t>教育・福祉ニーズ</w:t>
            </w:r>
            <w:r>
              <w:rPr>
                <w:rFonts w:hint="eastAsia" w:ascii="ＭＳ ゴシック" w:hAnsi="ＭＳ ゴシック" w:eastAsia="ＭＳ ゴシック"/>
                <w:color w:val="000000"/>
                <w:kern w:val="2"/>
                <w:sz w:val="22"/>
              </w:rPr>
              <w:t>等にもとづく公益的な事業・活動が行われている。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widowControl w:val="1"/>
        <w:spacing w:line="240" w:lineRule="exact"/>
        <w:jc w:val="left"/>
        <w:rPr>
          <w:rFonts w:hint="eastAsia"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kern w:val="2"/>
          <w:sz w:val="24"/>
        </w:rPr>
        <w:br w:type="page"/>
      </w:r>
    </w:p>
    <w:p>
      <w:pPr>
        <w:pStyle w:val="0"/>
        <w:jc w:val="both"/>
        <w:rPr>
          <w:rFonts w:hint="eastAsia" w:ascii="ＭＳ ゴシック" w:hAnsi="ＭＳ ゴシック" w:eastAsia="ＭＳ ゴシック"/>
          <w:b w:val="1"/>
          <w:color w:val="000000" w:themeColor="text1"/>
          <w:sz w:val="28"/>
          <w:shd w:val="clear" w:color="auto" w:fill="auto"/>
        </w:rPr>
      </w:pPr>
      <w:r>
        <w:rPr>
          <w:rFonts w:hint="eastAsia" w:ascii="ＭＳ ゴシック" w:hAnsi="ＭＳ ゴシック" w:eastAsia="ＭＳ ゴシック"/>
          <w:b w:val="1"/>
          <w:color w:val="000000"/>
          <w:kern w:val="2"/>
          <w:sz w:val="28"/>
        </w:rPr>
        <w:t>評価対象Ⅲ　適切な</w:t>
      </w:r>
      <w:r>
        <w:rPr>
          <w:rFonts w:hint="eastAsia" w:ascii="ＭＳ ゴシック" w:hAnsi="ＭＳ ゴシック" w:eastAsia="ＭＳ ゴシック"/>
          <w:b w:val="1"/>
          <w:color w:val="000000" w:themeColor="text1"/>
          <w:kern w:val="2"/>
          <w:sz w:val="28"/>
          <w:shd w:val="clear" w:color="auto" w:fill="auto"/>
        </w:rPr>
        <w:t>教育・福祉サービスの実施</w:t>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themeColor="text1"/>
          <w:kern w:val="2"/>
          <w:sz w:val="24"/>
          <w:shd w:val="clear" w:color="auto" w:fill="auto"/>
        </w:rPr>
        <w:t>Ⅲ</w:t>
      </w:r>
      <w:r>
        <w:rPr>
          <w:rFonts w:hint="eastAsia" w:ascii="ＭＳ ゴシック" w:hAnsi="ＭＳ ゴシック" w:eastAsia="ＭＳ ゴシック"/>
          <w:b w:val="1"/>
          <w:color w:val="000000" w:themeColor="text1"/>
          <w:kern w:val="2"/>
          <w:sz w:val="24"/>
          <w:shd w:val="clear" w:color="auto" w:fill="auto"/>
        </w:rPr>
        <w:t>-</w:t>
      </w:r>
      <w:r>
        <w:rPr>
          <w:rFonts w:hint="eastAsia" w:ascii="ＭＳ ゴシック" w:hAnsi="ＭＳ ゴシック" w:eastAsia="ＭＳ ゴシック"/>
          <w:b w:val="1"/>
          <w:color w:val="000000" w:themeColor="text1"/>
          <w:kern w:val="2"/>
          <w:sz w:val="24"/>
          <w:shd w:val="clear" w:color="auto" w:fill="auto"/>
        </w:rPr>
        <w:t>１　利用者本位の教育・福祉サービス</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利用者を尊重する姿勢が明示されている。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28</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園児を尊重した教育・保育</w:t>
            </w:r>
            <w:r>
              <w:rPr>
                <w:rFonts w:hint="eastAsia" w:ascii="ＭＳ ゴシック" w:hAnsi="ＭＳ ゴシック" w:eastAsia="ＭＳ ゴシック"/>
                <w:color w:val="000000"/>
                <w:kern w:val="2"/>
                <w:sz w:val="22"/>
              </w:rPr>
              <w:t>について共通の理解をもつための取組を行っている。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29</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eastAsia" w:ascii="ＭＳ ゴシック" w:hAnsi="ＭＳ ゴシック" w:eastAsia="ＭＳ ゴシック"/>
                <w:b w:val="0"/>
                <w:color w:val="000000" w:themeColor="text1"/>
                <w:kern w:val="2"/>
                <w:sz w:val="22"/>
                <w:shd w:val="clear" w:color="auto" w:fill="auto"/>
              </w:rPr>
              <w:t>園児のプライバシー保護に配慮した教育・保育</w:t>
            </w:r>
            <w:r>
              <w:rPr>
                <w:rFonts w:hint="eastAsia" w:ascii="ＭＳ ゴシック" w:hAnsi="ＭＳ ゴシック" w:eastAsia="ＭＳ ゴシック"/>
                <w:color w:val="000000"/>
                <w:kern w:val="2"/>
                <w:sz w:val="22"/>
              </w:rPr>
              <w:t>が行われている。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right="0" w:rightChars="0" w:hanging="1206" w:hangingChars="548"/>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教育・</w:t>
            </w:r>
            <w:bookmarkStart w:id="0" w:name="_GoBack"/>
            <w:bookmarkEnd w:id="0"/>
            <w:r>
              <w:rPr>
                <w:rFonts w:hint="eastAsia" w:ascii="ＭＳ ゴシック" w:hAnsi="ＭＳ ゴシック" w:eastAsia="ＭＳ ゴシック"/>
                <w:color w:val="000000"/>
                <w:kern w:val="2"/>
                <w:sz w:val="22"/>
              </w:rPr>
              <w:t>福祉サービスの提供に関する説明と同意（自己決定）が適切に行われている。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30</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利用希望者に対して</w:t>
            </w:r>
            <w:r>
              <w:rPr>
                <w:rFonts w:hint="eastAsia" w:ascii="ＭＳ ゴシック" w:hAnsi="ＭＳ ゴシック" w:eastAsia="ＭＳ ゴシック"/>
                <w:b w:val="0"/>
                <w:color w:val="000000" w:themeColor="text1"/>
                <w:kern w:val="2"/>
                <w:sz w:val="22"/>
                <w:shd w:val="clear" w:color="auto" w:fill="auto"/>
              </w:rPr>
              <w:t>幼保連携型認定こども園の</w:t>
            </w:r>
            <w:r>
              <w:rPr>
                <w:rFonts w:hint="eastAsia" w:ascii="ＭＳ ゴシック" w:hAnsi="ＭＳ ゴシック" w:eastAsia="ＭＳ ゴシック"/>
                <w:color w:val="000000"/>
                <w:kern w:val="2"/>
                <w:sz w:val="22"/>
              </w:rPr>
              <w:t>選択に必要な情報を積極的に提供している。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31</w:t>
            </w:r>
            <w:r>
              <w:rPr>
                <w:rFonts w:hint="eastAsia" w:ascii="ＭＳ ゴシック" w:hAnsi="ＭＳ ゴシック" w:eastAsia="ＭＳ ゴシック"/>
                <w:color w:val="000000"/>
                <w:kern w:val="2"/>
                <w:sz w:val="22"/>
              </w:rPr>
              <w:t>　</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eastAsia" w:ascii="ＭＳ ゴシック" w:hAnsi="ＭＳ ゴシック" w:eastAsia="ＭＳ ゴシック"/>
                <w:b w:val="0"/>
                <w:color w:val="000000" w:themeColor="text1"/>
                <w:kern w:val="2"/>
                <w:sz w:val="22"/>
                <w:shd w:val="clear" w:color="auto" w:fill="auto"/>
              </w:rPr>
              <w:t>教育・保育</w:t>
            </w:r>
            <w:r>
              <w:rPr>
                <w:rFonts w:hint="eastAsia" w:ascii="ＭＳ ゴシック" w:hAnsi="ＭＳ ゴシック" w:eastAsia="ＭＳ ゴシック"/>
                <w:color w:val="000000"/>
                <w:kern w:val="2"/>
                <w:sz w:val="22"/>
              </w:rPr>
              <w:t>の開始・変更にあたり保護者等にわかりやすく説明している。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32</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w:t>
            </w:r>
            <w:r>
              <w:rPr>
                <w:rFonts w:hint="eastAsia" w:ascii="ＭＳ ゴシック" w:hAnsi="ＭＳ ゴシック" w:eastAsia="ＭＳ ゴシック"/>
                <w:b w:val="0"/>
                <w:color w:val="000000" w:themeColor="text1"/>
                <w:kern w:val="2"/>
                <w:sz w:val="22"/>
                <w:shd w:val="clear" w:color="auto" w:fill="auto"/>
              </w:rPr>
              <w:t>幼保連携型認定こども園等の変更にあたり教育・保育</w:t>
            </w:r>
            <w:r>
              <w:rPr>
                <w:rFonts w:hint="eastAsia" w:ascii="ＭＳ ゴシック" w:hAnsi="ＭＳ ゴシック" w:eastAsia="ＭＳ ゴシック"/>
                <w:color w:val="000000"/>
                <w:kern w:val="2"/>
                <w:sz w:val="22"/>
              </w:rPr>
              <w:t>の継続性に配慮した対応を行っている。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ind w:left="1593" w:hanging="1520" w:hangingChars="724"/>
              <w:jc w:val="both"/>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利用者満足の向上に努めている。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33</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利用者満足の向上を目的とする仕組みを整備し、取組を行っている。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利用者が意見等を述べやすい体制が確保されている。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34</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苦情解決の仕組みが確立しており、周知・機能している。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spacing w:line="240" w:lineRule="exact"/>
        <w:jc w:val="both"/>
        <w:rPr>
          <w:rFonts w:hint="eastAsia"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kern w:val="2"/>
          <w:sz w:val="24"/>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35</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保護者が相談や意見を述べやすい環境を整備し、保護者等に周知している。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36</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保護者からの相談や意見に対して、組織的かつ迅速に対応している。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安心・安全な</w:t>
            </w:r>
            <w:r>
              <w:rPr>
                <w:rFonts w:hint="eastAsia" w:ascii="ＭＳ ゴシック" w:hAnsi="ＭＳ ゴシック" w:eastAsia="ＭＳ ゴシック"/>
                <w:b w:val="0"/>
                <w:color w:val="000000" w:themeColor="text1"/>
                <w:kern w:val="2"/>
                <w:sz w:val="22"/>
                <w:shd w:val="clear" w:color="auto" w:fill="auto"/>
              </w:rPr>
              <w:t>教育・福祉サービス</w:t>
            </w:r>
            <w:r>
              <w:rPr>
                <w:rFonts w:hint="eastAsia" w:ascii="ＭＳ ゴシック" w:hAnsi="ＭＳ ゴシック" w:eastAsia="ＭＳ ゴシック"/>
                <w:color w:val="000000"/>
                <w:kern w:val="2"/>
                <w:sz w:val="22"/>
              </w:rPr>
              <w:t>の提供のための組織的な取組が行われている。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37</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安心・安全な</w:t>
            </w:r>
            <w:r>
              <w:rPr>
                <w:rFonts w:hint="eastAsia" w:ascii="ＭＳ ゴシック" w:hAnsi="ＭＳ ゴシック" w:eastAsia="ＭＳ ゴシック"/>
                <w:b w:val="0"/>
                <w:color w:val="000000" w:themeColor="text1"/>
                <w:kern w:val="2"/>
                <w:sz w:val="22"/>
                <w:shd w:val="clear" w:color="auto" w:fill="auto"/>
              </w:rPr>
              <w:t>教育・福祉サービス</w:t>
            </w:r>
            <w:r>
              <w:rPr>
                <w:rFonts w:hint="eastAsia" w:ascii="ＭＳ ゴシック" w:hAnsi="ＭＳ ゴシック" w:eastAsia="ＭＳ ゴシック"/>
                <w:color w:val="000000"/>
                <w:kern w:val="2"/>
                <w:sz w:val="22"/>
              </w:rPr>
              <w:t>の提供を目的とするリスクマネジメント体制が構築されている。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38</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感染症の予防や発生時における</w:t>
            </w:r>
            <w:r>
              <w:rPr>
                <w:rFonts w:hint="eastAsia" w:ascii="ＭＳ ゴシック" w:hAnsi="ＭＳ ゴシック" w:eastAsia="ＭＳ ゴシック"/>
                <w:b w:val="0"/>
                <w:color w:val="000000" w:themeColor="text1"/>
                <w:kern w:val="2"/>
                <w:sz w:val="22"/>
                <w:shd w:val="clear" w:color="auto" w:fill="auto"/>
              </w:rPr>
              <w:t>園児</w:t>
            </w:r>
            <w:r>
              <w:rPr>
                <w:rFonts w:hint="eastAsia" w:ascii="ＭＳ ゴシック" w:hAnsi="ＭＳ ゴシック" w:eastAsia="ＭＳ ゴシック"/>
                <w:color w:val="000000"/>
                <w:kern w:val="2"/>
                <w:sz w:val="22"/>
              </w:rPr>
              <w:t>の安全確保のための体制を整備し、取組を行っている。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39</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災害時における</w:t>
            </w:r>
            <w:r>
              <w:rPr>
                <w:rFonts w:hint="eastAsia" w:ascii="ＭＳ ゴシック" w:hAnsi="ＭＳ ゴシック" w:eastAsia="ＭＳ ゴシック"/>
                <w:b w:val="0"/>
                <w:color w:val="000000" w:themeColor="text1"/>
                <w:kern w:val="2"/>
                <w:sz w:val="22"/>
                <w:shd w:val="clear" w:color="auto" w:fill="auto"/>
              </w:rPr>
              <w:t>園児</w:t>
            </w:r>
            <w:r>
              <w:rPr>
                <w:rFonts w:hint="eastAsia" w:ascii="ＭＳ ゴシック" w:hAnsi="ＭＳ ゴシック" w:eastAsia="ＭＳ ゴシック"/>
                <w:color w:val="000000"/>
                <w:kern w:val="2"/>
                <w:sz w:val="22"/>
              </w:rPr>
              <w:t>の安全確保のための取組を組織的に行っている。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Ⅲ</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２　</w:t>
      </w:r>
      <w:r>
        <w:rPr>
          <w:rFonts w:hint="eastAsia" w:ascii="ＭＳ ゴシック" w:hAnsi="ＭＳ ゴシック" w:eastAsia="ＭＳ ゴシック"/>
          <w:b w:val="1"/>
          <w:color w:val="000000" w:themeColor="text1"/>
          <w:kern w:val="2"/>
          <w:sz w:val="24"/>
          <w:shd w:val="clear" w:color="auto" w:fill="auto"/>
        </w:rPr>
        <w:t>教育・福祉サービス</w:t>
      </w:r>
      <w:r>
        <w:rPr>
          <w:rFonts w:hint="eastAsia" w:ascii="ＭＳ ゴシック" w:hAnsi="ＭＳ ゴシック" w:eastAsia="ＭＳ ゴシック"/>
          <w:b w:val="1"/>
          <w:color w:val="000000"/>
          <w:kern w:val="2"/>
          <w:sz w:val="24"/>
        </w:rPr>
        <w:t>の質の確保</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提供する</w:t>
            </w:r>
            <w:r>
              <w:rPr>
                <w:rFonts w:hint="eastAsia" w:ascii="ＭＳ ゴシック" w:hAnsi="ＭＳ ゴシック" w:eastAsia="ＭＳ ゴシック"/>
                <w:b w:val="0"/>
                <w:color w:val="000000" w:themeColor="text1"/>
                <w:kern w:val="2"/>
                <w:sz w:val="22"/>
                <w:shd w:val="clear" w:color="auto" w:fill="auto"/>
              </w:rPr>
              <w:t>教育・福祉サービス</w:t>
            </w:r>
            <w:r>
              <w:rPr>
                <w:rFonts w:hint="eastAsia" w:ascii="ＭＳ ゴシック" w:hAnsi="ＭＳ ゴシック" w:eastAsia="ＭＳ ゴシック"/>
                <w:color w:val="000000"/>
                <w:kern w:val="2"/>
                <w:sz w:val="22"/>
              </w:rPr>
              <w:t>の標準的な実施方法が確立している。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40</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教育・保育について標準的な実施方法が文書化され教育・保育</w:t>
            </w:r>
            <w:r>
              <w:rPr>
                <w:rFonts w:hint="eastAsia" w:ascii="ＭＳ ゴシック" w:hAnsi="ＭＳ ゴシック" w:eastAsia="ＭＳ ゴシック"/>
                <w:color w:val="000000"/>
                <w:kern w:val="2"/>
                <w:sz w:val="22"/>
              </w:rPr>
              <w:t>が提供されている。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41</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標準的な実施方法について見直しをする仕組みが確立している。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適切なアセスメントにより</w:t>
            </w:r>
            <w:r>
              <w:rPr>
                <w:rFonts w:hint="eastAsia" w:ascii="ＭＳ ゴシック" w:hAnsi="ＭＳ ゴシック" w:eastAsia="ＭＳ ゴシック"/>
                <w:b w:val="0"/>
                <w:color w:val="000000" w:themeColor="text1"/>
                <w:kern w:val="2"/>
                <w:sz w:val="22"/>
                <w:shd w:val="clear" w:color="auto" w:fill="auto"/>
              </w:rPr>
              <w:t>教育・福祉サービス</w:t>
            </w:r>
            <w:r>
              <w:rPr>
                <w:rFonts w:hint="eastAsia" w:ascii="ＭＳ ゴシック" w:hAnsi="ＭＳ ゴシック" w:eastAsia="ＭＳ ゴシック"/>
                <w:color w:val="000000"/>
                <w:kern w:val="2"/>
                <w:sz w:val="22"/>
              </w:rPr>
              <w:t>実施計画が策定されている。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42</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アセスメントにもとづく指導計画を適切に策定している。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40" w:lineRule="exact"/>
        <w:jc w:val="both"/>
        <w:rPr>
          <w:rFonts w:hint="default"/>
          <w:color w:val="000000"/>
        </w:rPr>
      </w:pPr>
      <w:r>
        <w:rPr>
          <w:rFonts w:hint="eastAsia" w:ascii="Century" w:hAnsi="Century" w:eastAsia="ＭＳ 明朝"/>
          <w:color w:val="000000"/>
          <w:kern w:val="2"/>
          <w:sz w:val="21"/>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43</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定期的に指導計画の評価・見直しを行っている。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b w:val="0"/>
                <w:color w:val="000000" w:themeColor="text1"/>
                <w:kern w:val="2"/>
                <w:sz w:val="22"/>
                <w:shd w:val="clear" w:color="auto" w:fill="auto"/>
              </w:rPr>
              <w:t>教育・福祉サービス</w:t>
            </w:r>
            <w:r>
              <w:rPr>
                <w:rFonts w:hint="eastAsia" w:ascii="ＭＳ ゴシック" w:hAnsi="ＭＳ ゴシック" w:eastAsia="ＭＳ ゴシック"/>
                <w:color w:val="000000"/>
                <w:kern w:val="2"/>
                <w:sz w:val="22"/>
              </w:rPr>
              <w:t>実施の記録が適切に行われている。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44</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園児に関する教育・保育</w:t>
            </w:r>
            <w:r>
              <w:rPr>
                <w:rFonts w:hint="eastAsia" w:ascii="ＭＳ ゴシック" w:hAnsi="ＭＳ ゴシック" w:eastAsia="ＭＳ ゴシック"/>
                <w:color w:val="000000"/>
                <w:kern w:val="2"/>
                <w:sz w:val="22"/>
              </w:rPr>
              <w:t>の実施状況の記録が適切に行われ、職員間で共有化されている。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45</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eastAsia" w:ascii="ＭＳ ゴシック" w:hAnsi="ＭＳ ゴシック" w:eastAsia="ＭＳ ゴシック"/>
                <w:b w:val="0"/>
                <w:color w:val="000000" w:themeColor="text1"/>
                <w:kern w:val="2"/>
                <w:sz w:val="22"/>
                <w:shd w:val="clear" w:color="auto" w:fill="auto"/>
              </w:rPr>
              <w:t>園児</w:t>
            </w:r>
            <w:r>
              <w:rPr>
                <w:rFonts w:hint="eastAsia" w:ascii="ＭＳ ゴシック" w:hAnsi="ＭＳ ゴシック" w:eastAsia="ＭＳ ゴシック"/>
                <w:color w:val="000000"/>
                <w:kern w:val="2"/>
                <w:sz w:val="22"/>
              </w:rPr>
              <w:t>に関する記録の管理体制が確立している。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widowControl w:val="1"/>
        <w:spacing w:line="240" w:lineRule="exact"/>
        <w:jc w:val="left"/>
        <w:rPr>
          <w:rFonts w:hint="eastAsia"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kern w:val="2"/>
          <w:sz w:val="24"/>
        </w:rPr>
        <w:br w:type="page"/>
      </w:r>
    </w:p>
    <w:p>
      <w:pPr>
        <w:pStyle w:val="0"/>
        <w:jc w:val="both"/>
        <w:rPr>
          <w:rFonts w:hint="eastAsia" w:ascii="ＭＳ ゴシック" w:hAnsi="ＭＳ ゴシック" w:eastAsia="ＭＳ ゴシック"/>
          <w:b w:val="1"/>
          <w:color w:val="000000"/>
          <w:sz w:val="28"/>
          <w:bdr w:val="single" w:color="auto" w:sz="4" w:space="0"/>
        </w:rPr>
      </w:pPr>
      <w:r>
        <w:rPr>
          <w:rFonts w:hint="eastAsia" w:ascii="ＭＳ ゴシック" w:hAnsi="ＭＳ ゴシック" w:eastAsia="ＭＳ ゴシック"/>
          <w:b w:val="1"/>
          <w:color w:val="000000" w:themeColor="text1"/>
          <w:kern w:val="2"/>
          <w:sz w:val="28"/>
          <w:bdr w:val="single" w:color="auto" w:sz="4" w:space="0"/>
          <w:shd w:val="clear" w:color="auto" w:fill="auto"/>
        </w:rPr>
        <w:t>幼保連携型認定こども園版内容評価基準</w:t>
      </w: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　評価対象</w:t>
      </w:r>
      <w:r>
        <w:rPr>
          <w:rFonts w:hint="eastAsia" w:ascii="ＭＳ ゴシック" w:hAnsi="ＭＳ ゴシック" w:eastAsia="ＭＳ ゴシック"/>
          <w:b w:val="1"/>
          <w:color w:val="000000"/>
          <w:kern w:val="2"/>
          <w:sz w:val="28"/>
        </w:rPr>
        <w:t>A</w:t>
      </w:r>
      <w:r>
        <w:rPr>
          <w:rFonts w:hint="eastAsia" w:ascii="ＭＳ ゴシック" w:hAnsi="ＭＳ ゴシック" w:eastAsia="ＭＳ ゴシック"/>
          <w:b w:val="1"/>
          <w:color w:val="000000"/>
          <w:kern w:val="2"/>
          <w:sz w:val="28"/>
        </w:rPr>
        <w:t>－１　</w:t>
      </w:r>
      <w:r>
        <w:rPr>
          <w:rFonts w:hint="eastAsia" w:ascii="ＭＳ ゴシック" w:hAnsi="ＭＳ ゴシック" w:eastAsia="ＭＳ ゴシック"/>
          <w:b w:val="1"/>
          <w:color w:val="000000" w:themeColor="text1"/>
          <w:kern w:val="2"/>
          <w:sz w:val="28"/>
          <w:shd w:val="clear" w:color="auto" w:fill="auto"/>
        </w:rPr>
        <w:t>教育・保育</w:t>
      </w:r>
      <w:r>
        <w:rPr>
          <w:rFonts w:hint="eastAsia" w:ascii="ＭＳ ゴシック" w:hAnsi="ＭＳ ゴシック" w:eastAsia="ＭＳ ゴシック"/>
          <w:b w:val="1"/>
          <w:color w:val="000000"/>
          <w:kern w:val="2"/>
          <w:sz w:val="28"/>
        </w:rPr>
        <w:t>内容</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b w:val="0"/>
                <w:color w:val="000000" w:themeColor="text1"/>
                <w:kern w:val="2"/>
                <w:sz w:val="22"/>
                <w:shd w:val="clear" w:color="auto" w:fill="auto"/>
              </w:rPr>
              <w:t>全体的な計画（教育課程を含む）</w:t>
            </w:r>
            <w:r>
              <w:rPr>
                <w:rFonts w:hint="eastAsia" w:ascii="ＭＳ ゴシック" w:hAnsi="ＭＳ ゴシック" w:eastAsia="ＭＳ ゴシック"/>
                <w:color w:val="000000"/>
                <w:kern w:val="2"/>
                <w:sz w:val="22"/>
              </w:rPr>
              <w:t>の編成</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①</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幼保連携型認定こども園の理念、教育・保育の方針や目標に基づき、園児の心身の発達や家庭及び地域の実態に応じて全体的な計画（教育課程を含む）</w:t>
            </w:r>
            <w:r>
              <w:rPr>
                <w:rFonts w:hint="eastAsia" w:ascii="ＭＳ ゴシック" w:hAnsi="ＭＳ ゴシック" w:eastAsia="ＭＳ ゴシック"/>
                <w:color w:val="000000"/>
                <w:kern w:val="2"/>
                <w:sz w:val="22"/>
              </w:rPr>
              <w:t>を編成している。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環境を通して行う</w:t>
            </w:r>
            <w:r>
              <w:rPr>
                <w:rFonts w:hint="eastAsia" w:ascii="ＭＳ ゴシック" w:hAnsi="ＭＳ ゴシック" w:eastAsia="ＭＳ ゴシック"/>
                <w:b w:val="0"/>
                <w:color w:val="000000" w:themeColor="text1"/>
                <w:kern w:val="2"/>
                <w:sz w:val="22"/>
                <w:shd w:val="clear" w:color="auto" w:fill="auto"/>
              </w:rPr>
              <w:t>教育・保育</w:t>
            </w:r>
            <w:r>
              <w:rPr>
                <w:rFonts w:hint="eastAsia" w:ascii="ＭＳ ゴシック" w:hAnsi="ＭＳ ゴシック" w:eastAsia="ＭＳ ゴシック"/>
                <w:color w:val="000000"/>
                <w:kern w:val="2"/>
                <w:sz w:val="22"/>
              </w:rPr>
              <w:t>、養護と教育の一体的展開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②</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生活にふさわしい場として、</w:t>
            </w:r>
            <w:r>
              <w:rPr>
                <w:rFonts w:hint="eastAsia" w:ascii="ＭＳ ゴシック" w:hAnsi="ＭＳ ゴシック" w:eastAsia="ＭＳ ゴシック"/>
                <w:b w:val="0"/>
                <w:color w:val="000000" w:themeColor="text1"/>
                <w:kern w:val="2"/>
                <w:sz w:val="22"/>
                <w:shd w:val="clear" w:color="auto" w:fill="auto"/>
              </w:rPr>
              <w:t>園児</w:t>
            </w:r>
            <w:r>
              <w:rPr>
                <w:rFonts w:hint="eastAsia" w:ascii="ＭＳ ゴシック" w:hAnsi="ＭＳ ゴシック" w:eastAsia="ＭＳ ゴシック"/>
                <w:color w:val="000000"/>
                <w:kern w:val="2"/>
                <w:sz w:val="22"/>
              </w:rPr>
              <w:t>が心地よく過ごすことのできる環境を整備している。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③</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一人ひとりの</w:t>
            </w:r>
            <w:r>
              <w:rPr>
                <w:rFonts w:hint="eastAsia" w:ascii="ＭＳ ゴシック" w:hAnsi="ＭＳ ゴシック" w:eastAsia="ＭＳ ゴシック"/>
                <w:b w:val="0"/>
                <w:color w:val="000000" w:themeColor="text1"/>
                <w:kern w:val="2"/>
                <w:sz w:val="22"/>
                <w:shd w:val="clear" w:color="auto" w:fill="auto"/>
              </w:rPr>
              <w:t>園児を受容し、園児の状態に応じた教育・保育</w:t>
            </w:r>
            <w:r>
              <w:rPr>
                <w:rFonts w:hint="eastAsia" w:ascii="ＭＳ ゴシック" w:hAnsi="ＭＳ ゴシック" w:eastAsia="ＭＳ ゴシック"/>
                <w:color w:val="000000"/>
                <w:kern w:val="2"/>
                <w:sz w:val="22"/>
              </w:rPr>
              <w:t>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④</w:t>
            </w:r>
            <w:r>
              <w:rPr>
                <w:rFonts w:hint="eastAsia" w:ascii="ＭＳ ゴシック" w:hAnsi="ＭＳ ゴシック" w:eastAsia="ＭＳ ゴシック"/>
                <w:color w:val="000000"/>
                <w:kern w:val="2"/>
                <w:sz w:val="22"/>
              </w:rPr>
              <w:t>　</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w:t>
            </w:r>
            <w:r>
              <w:rPr>
                <w:rFonts w:hint="eastAsia" w:ascii="ＭＳ ゴシック" w:hAnsi="ＭＳ ゴシック" w:eastAsia="ＭＳ ゴシック"/>
                <w:b w:val="0"/>
                <w:color w:val="000000" w:themeColor="text1"/>
                <w:kern w:val="2"/>
                <w:sz w:val="22"/>
                <w:shd w:val="clear" w:color="auto" w:fill="auto"/>
              </w:rPr>
              <w:t>園児</w:t>
            </w:r>
            <w:r>
              <w:rPr>
                <w:rFonts w:hint="eastAsia" w:ascii="ＭＳ ゴシック" w:hAnsi="ＭＳ ゴシック" w:eastAsia="ＭＳ ゴシック"/>
                <w:color w:val="000000"/>
                <w:kern w:val="2"/>
                <w:sz w:val="22"/>
              </w:rPr>
              <w:t>が基本的な生活習慣を身につけることができる環境の整備、援助を行っている。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⑤</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④　</w:t>
            </w:r>
            <w:r>
              <w:rPr>
                <w:rFonts w:hint="eastAsia" w:ascii="ＭＳ ゴシック" w:hAnsi="ＭＳ ゴシック" w:eastAsia="ＭＳ ゴシック"/>
                <w:b w:val="0"/>
                <w:color w:val="000000" w:themeColor="text1"/>
                <w:kern w:val="2"/>
                <w:sz w:val="22"/>
                <w:shd w:val="clear" w:color="auto" w:fill="auto"/>
              </w:rPr>
              <w:t>園児が主体的に活動できる環境を整備し、園児の生活と遊びを豊かにする教育・保育</w:t>
            </w:r>
            <w:r>
              <w:rPr>
                <w:rFonts w:hint="eastAsia" w:ascii="ＭＳ ゴシック" w:hAnsi="ＭＳ ゴシック" w:eastAsia="ＭＳ ゴシック"/>
                <w:color w:val="000000"/>
                <w:kern w:val="2"/>
                <w:sz w:val="22"/>
              </w:rPr>
              <w:t>を展開している。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ind w:left="1593" w:hanging="1520" w:hangingChars="724"/>
              <w:jc w:val="both"/>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⑥</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⑤　乳児保育（０歳児）において、養護と教育が一体的に展開されるよう適切な環境を整備し、保育の内容や方法に配慮している。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⑦</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⑥　３歳未満児（１・２歳児）の保育において、養護と教育が一体的に展開されるよう適切な環境を整備し、保育の内容や方法に配慮している。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tabs>
          <w:tab w:val="left" w:leader="none" w:pos="3210"/>
        </w:tabs>
        <w:jc w:val="both"/>
        <w:rPr>
          <w:rFonts w:hint="eastAsia" w:ascii="HG丸ｺﾞｼｯｸM-PRO" w:hAnsi="HG丸ｺﾞｼｯｸM-PRO" w:eastAsia="HG丸ｺﾞｼｯｸM-PRO"/>
          <w:b w:val="1"/>
          <w:color w:val="000000"/>
          <w:sz w:val="24"/>
        </w:rPr>
      </w:pPr>
      <w:r>
        <w:rPr>
          <w:rFonts w:hint="eastAsia" w:ascii="HG丸ｺﾞｼｯｸM-PRO" w:hAnsi="HG丸ｺﾞｼｯｸM-PRO" w:eastAsia="HG丸ｺﾞｼｯｸM-PRO"/>
          <w:b w:val="1"/>
          <w:color w:val="000000"/>
          <w:kern w:val="2"/>
          <w:sz w:val="24"/>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⑧</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⑦　３歳以上児の</w:t>
            </w:r>
            <w:r>
              <w:rPr>
                <w:rFonts w:hint="eastAsia" w:ascii="ＭＳ ゴシック" w:hAnsi="ＭＳ ゴシック" w:eastAsia="ＭＳ ゴシック"/>
                <w:b w:val="0"/>
                <w:color w:val="000000" w:themeColor="text1"/>
                <w:kern w:val="2"/>
                <w:sz w:val="22"/>
                <w:shd w:val="clear" w:color="auto" w:fill="auto"/>
              </w:rPr>
              <w:t>教育・保育において、養護と教育が一体的に展開されるよう適切な環境を整備し、教育・保育</w:t>
            </w:r>
            <w:r>
              <w:rPr>
                <w:rFonts w:hint="eastAsia" w:ascii="ＭＳ ゴシック" w:hAnsi="ＭＳ ゴシック" w:eastAsia="ＭＳ ゴシック"/>
                <w:color w:val="000000"/>
                <w:kern w:val="2"/>
                <w:sz w:val="22"/>
              </w:rPr>
              <w:t>の内容や方法に配慮している。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⑨</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⑧　障害のある</w:t>
            </w:r>
            <w:r>
              <w:rPr>
                <w:rFonts w:hint="eastAsia" w:ascii="ＭＳ ゴシック" w:hAnsi="ＭＳ ゴシック" w:eastAsia="ＭＳ ゴシック"/>
                <w:b w:val="0"/>
                <w:color w:val="000000" w:themeColor="text1"/>
                <w:kern w:val="2"/>
                <w:sz w:val="22"/>
                <w:shd w:val="clear" w:color="auto" w:fill="auto"/>
              </w:rPr>
              <w:t>園児が安心して生活できる環境を整備し、教育・保育</w:t>
            </w:r>
            <w:r>
              <w:rPr>
                <w:rFonts w:hint="eastAsia" w:ascii="ＭＳ ゴシック" w:hAnsi="ＭＳ ゴシック" w:eastAsia="ＭＳ ゴシック"/>
                <w:color w:val="000000"/>
                <w:kern w:val="2"/>
                <w:sz w:val="22"/>
              </w:rPr>
              <w:t>の内容や方法に配慮している。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⑩</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⑨　それぞれの</w:t>
            </w:r>
            <w:r>
              <w:rPr>
                <w:rFonts w:hint="eastAsia" w:ascii="ＭＳ ゴシック" w:hAnsi="ＭＳ ゴシック" w:eastAsia="ＭＳ ゴシック"/>
                <w:b w:val="0"/>
                <w:color w:val="000000" w:themeColor="text1"/>
                <w:kern w:val="2"/>
                <w:sz w:val="22"/>
                <w:shd w:val="clear" w:color="auto" w:fill="auto"/>
              </w:rPr>
              <w:t>園児の在園時間を考慮した環境を整備し、教育・保育</w:t>
            </w:r>
            <w:r>
              <w:rPr>
                <w:rFonts w:hint="eastAsia" w:ascii="ＭＳ ゴシック" w:hAnsi="ＭＳ ゴシック" w:eastAsia="ＭＳ ゴシック"/>
                <w:color w:val="000000"/>
                <w:kern w:val="2"/>
                <w:sz w:val="22"/>
              </w:rPr>
              <w:t>の内容や方法に配慮している。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⑪</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⑩　小学校との連携、就学を見通した計画に基づく、</w:t>
            </w:r>
            <w:r>
              <w:rPr>
                <w:rFonts w:hint="eastAsia" w:ascii="ＭＳ ゴシック" w:hAnsi="ＭＳ ゴシック" w:eastAsia="ＭＳ ゴシック"/>
                <w:b w:val="0"/>
                <w:color w:val="000000" w:themeColor="text1"/>
                <w:kern w:val="2"/>
                <w:sz w:val="22"/>
                <w:shd w:val="clear" w:color="auto" w:fill="auto"/>
              </w:rPr>
              <w:t>教育・保育</w:t>
            </w:r>
            <w:r>
              <w:rPr>
                <w:rFonts w:hint="eastAsia" w:ascii="ＭＳ ゴシック" w:hAnsi="ＭＳ ゴシック" w:eastAsia="ＭＳ ゴシック"/>
                <w:color w:val="000000"/>
                <w:kern w:val="2"/>
                <w:sz w:val="22"/>
              </w:rPr>
              <w:t>の内容や方法、保護者との関わりに配慮している。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健康管理</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⑫</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園児</w:t>
            </w:r>
            <w:r>
              <w:rPr>
                <w:rFonts w:hint="eastAsia" w:ascii="ＭＳ ゴシック" w:hAnsi="ＭＳ ゴシック" w:eastAsia="ＭＳ ゴシック"/>
                <w:color w:val="000000"/>
                <w:kern w:val="2"/>
                <w:sz w:val="22"/>
              </w:rPr>
              <w:t>の健康管理を適切に行っている。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⑬</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健康診断・歯科検診の結果を</w:t>
            </w:r>
            <w:r>
              <w:rPr>
                <w:rFonts w:hint="eastAsia" w:ascii="ＭＳ ゴシック" w:hAnsi="ＭＳ ゴシック" w:eastAsia="ＭＳ ゴシック"/>
                <w:b w:val="0"/>
                <w:color w:val="000000" w:themeColor="text1"/>
                <w:kern w:val="2"/>
                <w:sz w:val="22"/>
                <w:shd w:val="clear" w:color="auto" w:fill="auto"/>
              </w:rPr>
              <w:t>教育・保育</w:t>
            </w:r>
            <w:r>
              <w:rPr>
                <w:rFonts w:hint="eastAsia" w:ascii="ＭＳ ゴシック" w:hAnsi="ＭＳ ゴシック" w:eastAsia="ＭＳ ゴシック"/>
                <w:color w:val="000000"/>
                <w:kern w:val="2"/>
                <w:sz w:val="22"/>
              </w:rPr>
              <w:t>に反映している。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⑭</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アレルギー疾患、慢性疾患等のある</w:t>
            </w:r>
            <w:r>
              <w:rPr>
                <w:rFonts w:hint="eastAsia" w:ascii="ＭＳ ゴシック" w:hAnsi="ＭＳ ゴシック" w:eastAsia="ＭＳ ゴシック"/>
                <w:b w:val="0"/>
                <w:color w:val="000000" w:themeColor="text1"/>
                <w:kern w:val="2"/>
                <w:sz w:val="22"/>
              </w:rPr>
              <w:t>園児</w:t>
            </w:r>
            <w:r>
              <w:rPr>
                <w:rFonts w:hint="eastAsia" w:ascii="ＭＳ ゴシック" w:hAnsi="ＭＳ ゴシック" w:eastAsia="ＭＳ ゴシック"/>
                <w:color w:val="000000"/>
                <w:kern w:val="2"/>
                <w:sz w:val="22"/>
              </w:rPr>
              <w:t>について、医師からの指示を受け適切な対応を行っている。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食事</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⑮</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食事を楽しむことができるよう工夫をしている。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⑯</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eastAsia" w:ascii="ＭＳ ゴシック" w:hAnsi="ＭＳ ゴシック" w:eastAsia="ＭＳ ゴシック"/>
                <w:b w:val="0"/>
                <w:color w:val="000000" w:themeColor="text1"/>
                <w:kern w:val="2"/>
                <w:sz w:val="22"/>
                <w:shd w:val="clear" w:color="auto" w:fill="auto"/>
              </w:rPr>
              <w:t>園児</w:t>
            </w:r>
            <w:r>
              <w:rPr>
                <w:rFonts w:hint="eastAsia" w:ascii="ＭＳ ゴシック" w:hAnsi="ＭＳ ゴシック" w:eastAsia="ＭＳ ゴシック"/>
                <w:color w:val="000000"/>
                <w:kern w:val="2"/>
                <w:sz w:val="22"/>
              </w:rPr>
              <w:t>がおいしく安心して食べることのできる食事を提供している。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jc w:val="both"/>
        <w:rPr>
          <w:rFonts w:hint="eastAsia" w:ascii="ＭＳ ゴシック" w:hAnsi="ＭＳ ゴシック" w:eastAsia="ＭＳ ゴシック"/>
          <w:b w:val="1"/>
          <w:color w:val="000000"/>
          <w:sz w:val="28"/>
        </w:rPr>
      </w:pP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br w:type="page"/>
      </w:r>
      <w:r>
        <w:rPr>
          <w:rFonts w:hint="eastAsia" w:ascii="ＭＳ ゴシック" w:hAnsi="ＭＳ ゴシック" w:eastAsia="ＭＳ ゴシック"/>
          <w:b w:val="1"/>
          <w:color w:val="000000"/>
          <w:kern w:val="2"/>
          <w:sz w:val="28"/>
        </w:rPr>
        <w:t>　評価対象</w:t>
      </w:r>
      <w:r>
        <w:rPr>
          <w:rFonts w:hint="eastAsia" w:ascii="ＭＳ ゴシック" w:hAnsi="ＭＳ ゴシック" w:eastAsia="ＭＳ ゴシック"/>
          <w:b w:val="1"/>
          <w:color w:val="000000"/>
          <w:kern w:val="2"/>
          <w:sz w:val="28"/>
        </w:rPr>
        <w:t>A</w:t>
      </w:r>
      <w:r>
        <w:rPr>
          <w:rFonts w:hint="eastAsia" w:ascii="ＭＳ ゴシック" w:hAnsi="ＭＳ ゴシック" w:eastAsia="ＭＳ ゴシック"/>
          <w:b w:val="1"/>
          <w:color w:val="000000"/>
          <w:kern w:val="2"/>
          <w:sz w:val="28"/>
        </w:rPr>
        <w:t>－２　子育て支援</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家庭との緊密な連携</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⑰</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園児</w:t>
            </w:r>
            <w:r>
              <w:rPr>
                <w:rFonts w:hint="eastAsia" w:ascii="ＭＳ ゴシック" w:hAnsi="ＭＳ ゴシック" w:eastAsia="ＭＳ ゴシック"/>
                <w:color w:val="000000"/>
                <w:kern w:val="2"/>
                <w:sz w:val="22"/>
              </w:rPr>
              <w:t>の生活を充実させるために、家庭との連携を行っている。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保護者等の支援</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⑱</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保護者が安心して子育てができるよう支援を行っている。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⑲</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家庭での虐待等権利侵害の疑いのある</w:t>
            </w:r>
            <w:r>
              <w:rPr>
                <w:rFonts w:hint="eastAsia" w:ascii="ＭＳ ゴシック" w:hAnsi="ＭＳ ゴシック" w:eastAsia="ＭＳ ゴシック"/>
                <w:b w:val="0"/>
                <w:color w:val="000000" w:themeColor="text1"/>
                <w:kern w:val="2"/>
                <w:sz w:val="22"/>
                <w:shd w:val="clear" w:color="auto" w:fill="auto"/>
              </w:rPr>
              <w:t>子ども</w:t>
            </w:r>
            <w:r>
              <w:rPr>
                <w:rFonts w:hint="eastAsia" w:ascii="ＭＳ ゴシック" w:hAnsi="ＭＳ ゴシック" w:eastAsia="ＭＳ ゴシック"/>
                <w:color w:val="000000"/>
                <w:kern w:val="2"/>
                <w:sz w:val="22"/>
              </w:rPr>
              <w:t>の早期発見・早期対応及び虐待の予防に努めている。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40" w:lineRule="exact"/>
        <w:jc w:val="both"/>
        <w:rPr>
          <w:rFonts w:hint="eastAsia" w:ascii="ＭＳ ゴシック" w:hAnsi="ＭＳ ゴシック" w:eastAsia="ＭＳ ゴシック"/>
          <w:b w:val="1"/>
          <w:color w:val="000000"/>
          <w:sz w:val="28"/>
        </w:rPr>
      </w:pP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　評価対象</w:t>
      </w:r>
      <w:r>
        <w:rPr>
          <w:rFonts w:hint="eastAsia" w:ascii="ＭＳ ゴシック" w:hAnsi="ＭＳ ゴシック" w:eastAsia="ＭＳ ゴシック"/>
          <w:b w:val="1"/>
          <w:color w:val="000000"/>
          <w:kern w:val="2"/>
          <w:sz w:val="28"/>
        </w:rPr>
        <w:t>A</w:t>
      </w:r>
      <w:r>
        <w:rPr>
          <w:rFonts w:hint="eastAsia" w:ascii="ＭＳ ゴシック" w:hAnsi="ＭＳ ゴシック" w:eastAsia="ＭＳ ゴシック"/>
          <w:b w:val="1"/>
          <w:color w:val="000000"/>
          <w:kern w:val="2"/>
          <w:sz w:val="28"/>
        </w:rPr>
        <w:t>－３　</w:t>
      </w:r>
      <w:r>
        <w:rPr>
          <w:rFonts w:hint="eastAsia" w:ascii="ＭＳ ゴシック" w:hAnsi="ＭＳ ゴシック" w:eastAsia="ＭＳ ゴシック"/>
          <w:b w:val="1"/>
          <w:color w:val="000000" w:themeColor="text1"/>
          <w:kern w:val="2"/>
          <w:sz w:val="28"/>
          <w:shd w:val="clear" w:color="auto" w:fill="auto"/>
        </w:rPr>
        <w:t>教育・保育</w:t>
      </w:r>
      <w:r>
        <w:rPr>
          <w:rFonts w:hint="eastAsia" w:ascii="ＭＳ ゴシック" w:hAnsi="ＭＳ ゴシック" w:eastAsia="ＭＳ ゴシック"/>
          <w:b w:val="1"/>
          <w:color w:val="000000"/>
          <w:kern w:val="2"/>
          <w:sz w:val="28"/>
        </w:rPr>
        <w:t>の質の向上</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18"/>
              </w:rPr>
            </w:pPr>
            <w:r>
              <w:rPr>
                <w:rFonts w:hint="eastAsia"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b w:val="0"/>
                <w:color w:val="000000" w:themeColor="text1"/>
                <w:kern w:val="2"/>
                <w:sz w:val="22"/>
                <w:shd w:val="clear" w:color="auto" w:fill="auto"/>
              </w:rPr>
              <w:t>教育・保育実践の振り返り（保育教諭</w:t>
            </w:r>
            <w:r>
              <w:rPr>
                <w:rFonts w:hint="eastAsia" w:ascii="ＭＳ ゴシック" w:hAnsi="ＭＳ ゴシック" w:eastAsia="ＭＳ ゴシック"/>
                <w:color w:val="000000"/>
                <w:kern w:val="2"/>
                <w:sz w:val="22"/>
              </w:rPr>
              <w:t>等の自己評価）</w:t>
            </w:r>
          </w:p>
        </w:tc>
      </w:tr>
      <w:tr>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⑳</w:t>
            </w:r>
          </w:p>
        </w:tc>
        <w:tc>
          <w:tcPr>
            <w:tcW w:w="7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eastAsia" w:ascii="ＭＳ ゴシック" w:hAnsi="ＭＳ ゴシック" w:eastAsia="ＭＳ ゴシック"/>
                <w:b w:val="0"/>
                <w:color w:val="000000" w:themeColor="text1"/>
                <w:kern w:val="2"/>
                <w:sz w:val="22"/>
                <w:shd w:val="clear" w:color="auto" w:fill="auto"/>
              </w:rPr>
              <w:t>保育教諭等が主体的に教育・保育実践の振り返り（自己評価）を行い、教育・保育</w:t>
            </w:r>
            <w:r>
              <w:rPr>
                <w:rFonts w:hint="eastAsia" w:ascii="ＭＳ ゴシック" w:hAnsi="ＭＳ ゴシック" w:eastAsia="ＭＳ ゴシック"/>
                <w:color w:val="000000"/>
                <w:kern w:val="2"/>
                <w:sz w:val="22"/>
              </w:rPr>
              <w:t>実践の改善や専門性の向上に努めている。</w:t>
            </w:r>
          </w:p>
        </w:tc>
        <w:tc>
          <w:tcPr>
            <w:tcW w:w="1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&lt;</w:t>
            </w:r>
            <w:r>
              <w:rPr>
                <w:rFonts w:hint="eastAsia" w:ascii="ＭＳ ゴシック" w:hAnsi="ＭＳ ゴシック" w:eastAsia="ＭＳ ゴシック"/>
                <w:color w:val="000000"/>
                <w:kern w:val="2"/>
                <w:sz w:val="22"/>
              </w:rPr>
              <w:t>コメント</w:t>
            </w:r>
            <w:r>
              <w:rPr>
                <w:rFonts w:hint="eastAsia"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jc w:val="both"/>
        <w:rPr>
          <w:rFonts w:hint="eastAsia" w:ascii="ＭＳ ゴシック" w:hAnsi="ＭＳ ゴシック" w:eastAsia="ＭＳ ゴシック"/>
          <w:b w:val="1"/>
          <w:color w:val="000000"/>
          <w:sz w:val="28"/>
        </w:rPr>
      </w:pPr>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Date Char"/>
    <w:basedOn w:val="10"/>
    <w:next w:val="16"/>
    <w:link w:val="15"/>
    <w:uiPriority w:val="0"/>
    <w:qFormat/>
  </w:style>
  <w:style w:type="paragraph" w:styleId="17">
    <w:name w:val="List Paragraph"/>
    <w:basedOn w:val="0"/>
    <w:next w:val="17"/>
    <w:link w:val="0"/>
    <w:uiPriority w:val="0"/>
    <w:pPr>
      <w:ind w:left="840" w:leftChars="40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Balloon Text Char"/>
    <w:basedOn w:val="10"/>
    <w:next w:val="19"/>
    <w:link w:val="18"/>
    <w:uiPriority w:val="0"/>
    <w:qFormat/>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Header Char"/>
    <w:basedOn w:val="10"/>
    <w:next w:val="21"/>
    <w:link w:val="20"/>
    <w:uiPriority w:val="0"/>
    <w:qFormat/>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Footer Char"/>
    <w:basedOn w:val="10"/>
    <w:next w:val="23"/>
    <w:link w:val="22"/>
    <w:uiPriority w:val="0"/>
    <w:qFormat/>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12</Pages>
  <Words>538</Words>
  <Characters>5457</Characters>
  <Application>JUST Note</Application>
  <Lines>772</Lines>
  <Paragraphs>363</Paragraphs>
  <CharactersWithSpaces>5658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（別添５）</dc:title>
  <dc:creator>宮内 良樹</dc:creator>
  <cp:lastModifiedBy>酒井　仁志</cp:lastModifiedBy>
  <cp:lastPrinted>2024-12-27T02:18:15Z</cp:lastPrinted>
  <dcterms:created xsi:type="dcterms:W3CDTF">2016-05-06T09:11:00Z</dcterms:created>
  <dcterms:modified xsi:type="dcterms:W3CDTF">2025-02-03T03:57:14Z</dcterms:modified>
  <cp:revision>43</cp:revision>
</cp:coreProperties>
</file>