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産業廃棄物の処理に関する特記仕様書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960" w:hanging="960" w:hanging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第１条　この特記仕様書は、建設業法第２条第１項に規程する建設工事に適用する。</w:t>
      </w:r>
    </w:p>
    <w:p>
      <w:pPr>
        <w:pStyle w:val="0"/>
        <w:ind w:left="960" w:hanging="960" w:hanging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960" w:hanging="960" w:hanging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第２条　産業廃棄物が搬出される建設工事にあたっては、産業廃棄物管理票を（公財）日本産業廃棄物処理振興センター（</w:t>
      </w:r>
      <w:r>
        <w:rPr>
          <w:rFonts w:hint="eastAsia" w:ascii="ＭＳ 明朝" w:hAnsi="ＭＳ 明朝" w:eastAsia="ＭＳ 明朝"/>
          <w:sz w:val="24"/>
        </w:rPr>
        <w:t>https://www.jwnet.or.jp/index.html</w:t>
      </w:r>
      <w:r>
        <w:rPr>
          <w:rFonts w:hint="eastAsia" w:ascii="ＭＳ 明朝" w:hAnsi="ＭＳ 明朝" w:eastAsia="ＭＳ 明朝"/>
          <w:sz w:val="24"/>
        </w:rPr>
        <w:t>）が運営する「情報処理センター」への登録（電子マニフェスト）により行うこと。</w:t>
      </w:r>
    </w:p>
    <w:p>
      <w:pPr>
        <w:pStyle w:val="0"/>
        <w:ind w:left="960" w:hanging="960" w:hanging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960" w:hanging="960" w:hanging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第３条　これにより難い場合は監督員と協議すること。</w:t>
      </w:r>
      <w:bookmarkStart w:id="0" w:name="_GoBack"/>
      <w:bookmarkEnd w:id="0"/>
    </w:p>
    <w:sectPr>
      <w:pgSz w:w="11906" w:h="16838"/>
      <w:pgMar w:top="1985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dcterms:created xsi:type="dcterms:W3CDTF">2022-10-06T10:48:00Z</dcterms:created>
  <dcterms:modified xsi:type="dcterms:W3CDTF">2022-10-06T10:57:35Z</dcterms:modified>
  <cp:revision>1</cp:revision>
</cp:coreProperties>
</file>