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eastAsia" w:eastAsia="ＭＳ 明朝"/>
          <w:color w:val="auto"/>
          <w:sz w:val="21"/>
          <w:u w:val="none" w:color="auto"/>
        </w:rPr>
      </w:pPr>
      <w:r>
        <w:rPr>
          <w:rFonts w:hint="eastAsia" w:eastAsia="ＭＳ 明朝"/>
          <w:color w:val="auto"/>
          <w:sz w:val="21"/>
          <w:u w:val="none" w:color="auto"/>
        </w:rPr>
        <w:t>様式第１号（第２</w:t>
      </w:r>
      <w:r>
        <w:rPr>
          <w:rFonts w:hint="eastAsia" w:eastAsia="ＭＳ 明朝"/>
          <w:color w:val="auto"/>
          <w:sz w:val="21"/>
          <w:u w:val="none" w:color="auto"/>
        </w:rPr>
        <w:t>-</w:t>
      </w:r>
      <w:r>
        <w:rPr>
          <w:rFonts w:hint="eastAsia" w:eastAsia="ＭＳ 明朝"/>
          <w:color w:val="auto"/>
          <w:sz w:val="21"/>
          <w:u w:val="none" w:color="auto"/>
        </w:rPr>
        <w:t>２</w:t>
      </w:r>
      <w:r>
        <w:rPr>
          <w:rFonts w:hint="eastAsia" w:eastAsia="ＭＳ 明朝"/>
          <w:color w:val="auto"/>
          <w:sz w:val="21"/>
          <w:u w:val="none" w:color="auto"/>
        </w:rPr>
        <w:t>-(1)</w:t>
      </w:r>
      <w:r>
        <w:rPr>
          <w:rFonts w:hint="eastAsia" w:eastAsia="ＭＳ 明朝"/>
          <w:color w:val="auto"/>
          <w:sz w:val="21"/>
          <w:u w:val="none" w:color="auto"/>
        </w:rPr>
        <w:t>関係）</w:t>
      </w:r>
    </w:p>
    <w:p>
      <w:pPr>
        <w:pStyle w:val="0"/>
        <w:rPr>
          <w:rFonts w:hint="eastAsia"/>
          <w:color w:val="auto"/>
          <w:u w:val="none" w:color="auto"/>
        </w:rPr>
      </w:pPr>
    </w:p>
    <w:p>
      <w:pPr>
        <w:pStyle w:val="0"/>
        <w:spacing w:line="0" w:lineRule="atLeast"/>
        <w:jc w:val="center"/>
        <w:rPr>
          <w:rFonts w:hint="eastAsia" w:eastAsia="ＭＳ 明朝"/>
          <w:color w:val="auto"/>
          <w:sz w:val="24"/>
          <w:u w:val="none" w:color="auto"/>
        </w:rPr>
      </w:pPr>
      <w:r>
        <w:rPr>
          <w:rFonts w:hint="eastAsia" w:eastAsia="ＭＳ 明朝"/>
          <w:color w:val="auto"/>
          <w:sz w:val="24"/>
          <w:u w:val="none" w:color="auto"/>
        </w:rPr>
        <w:t>計</w:t>
      </w:r>
      <w:r>
        <w:rPr>
          <w:rFonts w:hint="eastAsia" w:eastAsia="ＭＳ 明朝"/>
          <w:color w:val="auto"/>
          <w:sz w:val="24"/>
          <w:u w:val="none" w:color="auto"/>
        </w:rPr>
        <w:t xml:space="preserve"> </w:t>
      </w:r>
      <w:r>
        <w:rPr>
          <w:rFonts w:hint="eastAsia" w:eastAsia="ＭＳ 明朝"/>
          <w:color w:val="auto"/>
          <w:sz w:val="24"/>
          <w:u w:val="none" w:color="auto"/>
        </w:rPr>
        <w:t>画</w:t>
      </w:r>
      <w:r>
        <w:rPr>
          <w:rFonts w:hint="eastAsia" w:eastAsia="ＭＳ 明朝"/>
          <w:color w:val="auto"/>
          <w:sz w:val="24"/>
          <w:u w:val="none" w:color="auto"/>
        </w:rPr>
        <w:t xml:space="preserve"> </w:t>
      </w:r>
      <w:r>
        <w:rPr>
          <w:rFonts w:hint="eastAsia" w:eastAsia="ＭＳ 明朝"/>
          <w:color w:val="auto"/>
          <w:sz w:val="24"/>
          <w:u w:val="none" w:color="auto"/>
        </w:rPr>
        <w:t>等</w:t>
      </w:r>
      <w:r>
        <w:rPr>
          <w:rFonts w:hint="eastAsia" w:eastAsia="ＭＳ 明朝"/>
          <w:color w:val="auto"/>
          <w:sz w:val="24"/>
          <w:u w:val="none" w:color="auto"/>
        </w:rPr>
        <w:t xml:space="preserve"> </w:t>
      </w:r>
      <w:r>
        <w:rPr>
          <w:rFonts w:hint="eastAsia" w:eastAsia="ＭＳ 明朝"/>
          <w:color w:val="auto"/>
          <w:sz w:val="24"/>
          <w:u w:val="none" w:color="auto"/>
        </w:rPr>
        <w:t>の</w:t>
      </w:r>
      <w:r>
        <w:rPr>
          <w:rFonts w:hint="eastAsia" w:eastAsia="ＭＳ 明朝"/>
          <w:color w:val="auto"/>
          <w:sz w:val="24"/>
          <w:u w:val="none" w:color="auto"/>
        </w:rPr>
        <w:t xml:space="preserve"> </w:t>
      </w:r>
      <w:r>
        <w:rPr>
          <w:rFonts w:hint="eastAsia" w:eastAsia="ＭＳ 明朝"/>
          <w:color w:val="auto"/>
          <w:sz w:val="24"/>
          <w:u w:val="none" w:color="auto"/>
        </w:rPr>
        <w:t>案</w:t>
      </w:r>
      <w:r>
        <w:rPr>
          <w:rFonts w:hint="eastAsia" w:eastAsia="ＭＳ 明朝"/>
          <w:color w:val="auto"/>
          <w:sz w:val="24"/>
          <w:u w:val="none" w:color="auto"/>
        </w:rPr>
        <w:t xml:space="preserve"> </w:t>
      </w:r>
      <w:r>
        <w:rPr>
          <w:rFonts w:hint="eastAsia" w:eastAsia="ＭＳ 明朝"/>
          <w:color w:val="auto"/>
          <w:sz w:val="24"/>
          <w:u w:val="none" w:color="auto"/>
        </w:rPr>
        <w:t>の</w:t>
      </w:r>
      <w:r>
        <w:rPr>
          <w:rFonts w:hint="eastAsia" w:eastAsia="ＭＳ 明朝"/>
          <w:color w:val="auto"/>
          <w:sz w:val="24"/>
          <w:u w:val="none" w:color="auto"/>
        </w:rPr>
        <w:t xml:space="preserve"> </w:t>
      </w:r>
      <w:r>
        <w:rPr>
          <w:rFonts w:hint="eastAsia" w:eastAsia="ＭＳ 明朝"/>
          <w:color w:val="auto"/>
          <w:sz w:val="24"/>
          <w:u w:val="none" w:color="auto"/>
        </w:rPr>
        <w:t>概</w:t>
      </w:r>
      <w:r>
        <w:rPr>
          <w:rFonts w:hint="eastAsia" w:eastAsia="ＭＳ 明朝"/>
          <w:color w:val="auto"/>
          <w:sz w:val="24"/>
          <w:u w:val="none" w:color="auto"/>
        </w:rPr>
        <w:t xml:space="preserve"> </w:t>
      </w:r>
      <w:r>
        <w:rPr>
          <w:rFonts w:hint="eastAsia" w:eastAsia="ＭＳ 明朝"/>
          <w:color w:val="auto"/>
          <w:sz w:val="24"/>
          <w:u w:val="none" w:color="auto"/>
        </w:rPr>
        <w:t>要</w:t>
      </w:r>
    </w:p>
    <w:p>
      <w:pPr>
        <w:pStyle w:val="0"/>
        <w:rPr>
          <w:rFonts w:hint="eastAsia"/>
          <w:color w:val="auto"/>
          <w:u w:val="none" w:color="auto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31"/>
        <w:gridCol w:w="1326"/>
        <w:gridCol w:w="1530"/>
        <w:gridCol w:w="5133"/>
      </w:tblGrid>
      <w:tr>
        <w:trPr>
          <w:cantSplit/>
          <w:trHeight w:val="533" w:hRule="atLeast"/>
        </w:trPr>
        <w:tc>
          <w:tcPr>
            <w:tcW w:w="17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kern w:val="0"/>
                <w:sz w:val="21"/>
                <w:u w:val="none" w:color="auto"/>
              </w:rPr>
              <w:t>名　　　　　称</w:t>
            </w:r>
          </w:p>
        </w:tc>
        <w:tc>
          <w:tcPr>
            <w:tcW w:w="798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静岡県学校教育情報化推進計画</w:t>
            </w:r>
            <w:r>
              <w:rPr>
                <w:rFonts w:hint="eastAsia" w:eastAsia="ＭＳ 明朝"/>
                <w:sz w:val="21"/>
              </w:rPr>
              <w:t>（令和８～</w:t>
            </w:r>
            <w:r>
              <w:rPr>
                <w:rFonts w:hint="eastAsia" w:eastAsia="ＭＳ 明朝"/>
                <w:sz w:val="21"/>
              </w:rPr>
              <w:t>10</w:t>
            </w:r>
            <w:r>
              <w:rPr>
                <w:rFonts w:hint="eastAsia" w:eastAsia="ＭＳ 明朝"/>
                <w:sz w:val="21"/>
              </w:rPr>
              <w:t>年度）</w:t>
            </w: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（案）に対する意見募集</w:t>
            </w:r>
          </w:p>
        </w:tc>
      </w:tr>
      <w:tr>
        <w:trPr>
          <w:cantSplit/>
          <w:trHeight w:val="527" w:hRule="atLeast"/>
        </w:trPr>
        <w:tc>
          <w:tcPr>
            <w:tcW w:w="17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2"/>
                <w:kern w:val="0"/>
                <w:sz w:val="21"/>
                <w:u w:val="none" w:color="auto"/>
                <w:fitText w:val="1484" w:id="1"/>
              </w:rPr>
              <w:t>公表するも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kern w:val="0"/>
                <w:sz w:val="21"/>
                <w:u w:val="none" w:color="auto"/>
                <w:fitText w:val="1484" w:id="1"/>
              </w:rPr>
              <w:t>の</w:t>
            </w:r>
          </w:p>
        </w:tc>
        <w:tc>
          <w:tcPr>
            <w:tcW w:w="798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Chars="0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静岡県学校教育情報化推進計画</w:t>
            </w:r>
            <w:r>
              <w:rPr>
                <w:rFonts w:hint="eastAsia" w:eastAsia="ＭＳ 明朝"/>
                <w:sz w:val="21"/>
              </w:rPr>
              <w:t>（令和８～</w:t>
            </w:r>
            <w:r>
              <w:rPr>
                <w:rFonts w:hint="eastAsia" w:eastAsia="ＭＳ 明朝"/>
                <w:sz w:val="21"/>
              </w:rPr>
              <w:t>10</w:t>
            </w:r>
            <w:r>
              <w:rPr>
                <w:rFonts w:hint="eastAsia" w:eastAsia="ＭＳ 明朝"/>
                <w:sz w:val="21"/>
              </w:rPr>
              <w:t>年度）</w:t>
            </w: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（案）ほか</w:t>
            </w:r>
          </w:p>
        </w:tc>
      </w:tr>
      <w:tr>
        <w:trPr>
          <w:cantSplit/>
          <w:trHeight w:val="527" w:hRule="atLeast"/>
        </w:trPr>
        <w:tc>
          <w:tcPr>
            <w:tcW w:w="173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"/>
                <w:kern w:val="0"/>
                <w:sz w:val="21"/>
                <w:u w:val="none" w:color="auto"/>
                <w:fitText w:val="1484" w:id="2"/>
              </w:rPr>
              <w:t>県民意見の募集</w:t>
            </w:r>
          </w:p>
        </w:tc>
        <w:tc>
          <w:tcPr>
            <w:tcW w:w="13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  <w:bdr w:val="single" w:color="auto" w:sz="4" w:space="0"/>
              </w:rPr>
              <w:t>有</w:t>
            </w:r>
          </w:p>
        </w:tc>
        <w:tc>
          <w:tcPr>
            <w:tcW w:w="15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pacing w:val="27"/>
                <w:kern w:val="0"/>
                <w:sz w:val="21"/>
                <w:u w:val="none" w:color="auto"/>
                <w:fitText w:val="1272" w:id="3"/>
              </w:rPr>
              <w:t>有の場合</w:t>
            </w:r>
            <w:r>
              <w:rPr>
                <w:rFonts w:hint="eastAsia" w:eastAsia="ＭＳ 明朝"/>
                <w:color w:val="auto"/>
                <w:spacing w:val="3"/>
                <w:kern w:val="0"/>
                <w:sz w:val="21"/>
                <w:u w:val="none" w:color="auto"/>
                <w:fitText w:val="1272" w:id="3"/>
              </w:rPr>
              <w:t>は</w:t>
            </w:r>
          </w:p>
          <w:p>
            <w:pPr>
              <w:pStyle w:val="0"/>
              <w:spacing w:line="0" w:lineRule="atLeast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その募集期間</w:t>
            </w:r>
          </w:p>
        </w:tc>
        <w:tc>
          <w:tcPr>
            <w:tcW w:w="513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Chars="0" w:firstLine="0" w:firstLineChars="0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令和８年１月</w:t>
            </w: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16</w:t>
            </w: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日</w:t>
            </w: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(</w:t>
            </w: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金</w:t>
            </w: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 xml:space="preserve">) </w:t>
            </w: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～</w:t>
            </w: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 xml:space="preserve"> </w:t>
            </w: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令和８年２月６日</w:t>
            </w: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(</w:t>
            </w: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金</w:t>
            </w: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)</w:t>
            </w:r>
          </w:p>
        </w:tc>
      </w:tr>
      <w:tr>
        <w:trPr>
          <w:cantSplit/>
          <w:trHeight w:val="527" w:hRule="atLeast"/>
        </w:trPr>
        <w:tc>
          <w:tcPr>
            <w:tcW w:w="173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eastAsia="ＭＳ 明朝"/>
                <w:sz w:val="21"/>
              </w:rPr>
            </w:pPr>
          </w:p>
        </w:tc>
        <w:tc>
          <w:tcPr>
            <w:tcW w:w="13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無</w:t>
            </w:r>
          </w:p>
        </w:tc>
        <w:tc>
          <w:tcPr>
            <w:tcW w:w="15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eastAsia="ＭＳ 明朝"/>
                <w:sz w:val="21"/>
              </w:rPr>
            </w:pPr>
          </w:p>
        </w:tc>
        <w:tc>
          <w:tcPr>
            <w:tcW w:w="513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eastAsia="ＭＳ 明朝"/>
                <w:sz w:val="21"/>
              </w:rPr>
            </w:pPr>
          </w:p>
        </w:tc>
      </w:tr>
      <w:tr>
        <w:trPr>
          <w:cantSplit/>
          <w:trHeight w:val="527" w:hRule="atLeast"/>
        </w:trPr>
        <w:tc>
          <w:tcPr>
            <w:tcW w:w="17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4"/>
                <w:kern w:val="0"/>
                <w:sz w:val="21"/>
                <w:u w:val="none" w:color="auto"/>
                <w:fitText w:val="1484" w:id="4"/>
              </w:rPr>
              <w:t>担当課等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kern w:val="0"/>
                <w:sz w:val="21"/>
                <w:u w:val="none" w:color="auto"/>
                <w:fitText w:val="1484" w:id="4"/>
              </w:rPr>
              <w:t>名</w:t>
            </w:r>
          </w:p>
        </w:tc>
        <w:tc>
          <w:tcPr>
            <w:tcW w:w="798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教育委員会教育ＤＸ推進課</w:t>
            </w: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 xml:space="preserve">         </w:t>
            </w: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　　　　電話番号　</w:t>
            </w: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054</w:t>
            </w: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‐</w:t>
            </w: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221</w:t>
            </w: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‐</w:t>
            </w: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3391</w:t>
            </w:r>
          </w:p>
        </w:tc>
      </w:tr>
      <w:tr>
        <w:trPr>
          <w:cantSplit/>
          <w:trHeight w:val="1114" w:hRule="atLeast"/>
        </w:trPr>
        <w:tc>
          <w:tcPr>
            <w:tcW w:w="17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総合計画に</w:t>
            </w:r>
          </w:p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おける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1"/>
                <w:u w:val="none" w:color="auto"/>
              </w:rPr>
              <w:t>位置づけ</w:t>
            </w:r>
          </w:p>
        </w:tc>
        <w:tc>
          <w:tcPr>
            <w:tcW w:w="798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Ⅱ　豊かな暮らし</w:t>
            </w:r>
          </w:p>
          <w:p>
            <w:pPr>
              <w:pStyle w:val="0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Ⅱ－１　こども・教育</w:t>
            </w:r>
          </w:p>
          <w:p>
            <w:pPr>
              <w:pStyle w:val="0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②未来を切り拓く力を育む教育の実現</w:t>
            </w:r>
          </w:p>
        </w:tc>
      </w:tr>
      <w:tr>
        <w:trPr>
          <w:cantSplit/>
          <w:trHeight w:val="484" w:hRule="atLeast"/>
        </w:trPr>
        <w:tc>
          <w:tcPr>
            <w:tcW w:w="17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kern w:val="0"/>
                <w:sz w:val="21"/>
                <w:u w:val="none" w:color="auto"/>
              </w:rPr>
              <w:t>審議会等の名称</w:t>
            </w:r>
          </w:p>
        </w:tc>
        <w:tc>
          <w:tcPr>
            <w:tcW w:w="798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 xml:space="preserve">      </w:t>
            </w:r>
          </w:p>
        </w:tc>
      </w:tr>
      <w:tr>
        <w:trPr>
          <w:cantSplit/>
        </w:trPr>
        <w:tc>
          <w:tcPr>
            <w:tcW w:w="972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１</w:t>
            </w: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 xml:space="preserve">  </w:t>
            </w: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趣旨</w:t>
            </w:r>
          </w:p>
          <w:p>
            <w:pPr>
              <w:pStyle w:val="0"/>
              <w:spacing w:line="0" w:lineRule="atLeast"/>
              <w:ind w:firstLine="215" w:firstLineChars="100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静岡県教育委員会では、「学校教育の情報化の推進に関する法律」に基づき、令和４年７月に「ふじのくに学校教育情報化推進計画」を策定し、本県の区域における</w:t>
            </w:r>
            <w:bookmarkStart w:id="0" w:name="_GoBack"/>
            <w:bookmarkEnd w:id="0"/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学校教育の情報化の推進に関する施策を実施してきました。</w:t>
            </w:r>
          </w:p>
          <w:p>
            <w:pPr>
              <w:pStyle w:val="0"/>
              <w:spacing w:line="0" w:lineRule="atLeast"/>
              <w:ind w:firstLine="215" w:firstLineChars="100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このたび、計画期間の最終年度を迎えたため、令和８年度から</w:t>
            </w: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10</w:t>
            </w: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年度までの３年間を計画期間とし、改訂することとしましたので、県民の皆様から広く御意見を募集します。</w:t>
            </w:r>
          </w:p>
          <w:p>
            <w:pPr>
              <w:pStyle w:val="0"/>
              <w:spacing w:line="0" w:lineRule="atLeast"/>
              <w:ind w:firstLine="215" w:firstLineChars="100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なお、今回の改訂に合わせて、計画の名称を「静岡県学校教育情報化推進計画」に改めます。</w:t>
            </w:r>
          </w:p>
        </w:tc>
      </w:tr>
      <w:tr>
        <w:trPr>
          <w:cantSplit/>
        </w:trPr>
        <w:tc>
          <w:tcPr>
            <w:tcW w:w="972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２</w:t>
            </w: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 xml:space="preserve">  </w:t>
            </w: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骨子</w:t>
            </w:r>
          </w:p>
          <w:p>
            <w:pPr>
              <w:pStyle w:val="0"/>
              <w:autoSpaceDN w:val="1"/>
              <w:spacing w:line="240" w:lineRule="auto"/>
              <w:ind w:left="0" w:leftChars="0" w:right="0" w:rightChars="0" w:firstLine="221" w:firstLineChars="100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1"/>
              </w:rPr>
              <w:t>（１）位置付け　</w:t>
            </w:r>
            <w:r>
              <w:rPr>
                <w:rFonts w:hint="eastAsia" w:ascii="ＭＳ ゴシック" w:hAnsi="ＭＳ ゴシック" w:eastAsia="ＭＳ ゴシック"/>
                <w:color w:val="auto"/>
                <w:w w:val="100"/>
                <w:sz w:val="21"/>
              </w:rPr>
              <w:t>学校教育の情報化の推進に関する施策を総合的・計画的に実施するための計画</w:t>
            </w:r>
          </w:p>
          <w:p>
            <w:pPr>
              <w:pStyle w:val="0"/>
              <w:autoSpaceDN w:val="1"/>
              <w:spacing w:line="240" w:lineRule="auto"/>
              <w:ind w:left="0" w:leftChars="0" w:right="0" w:rightChars="0" w:firstLine="0" w:firstLineChars="0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w w:val="100"/>
                <w:sz w:val="21"/>
              </w:rPr>
              <w:t>　　　　　　　　　　</w:t>
            </w:r>
            <w:r>
              <w:rPr>
                <w:rFonts w:hint="eastAsia" w:ascii="ＭＳ 明朝" w:hAnsi="ＭＳ 明朝" w:eastAsia="ＭＳ 明朝"/>
                <w:color w:val="auto"/>
                <w:w w:val="10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w w:val="100"/>
                <w:sz w:val="21"/>
              </w:rPr>
              <w:t>学校教育の情報化の推進に関する法律第９条規定）</w:t>
            </w:r>
          </w:p>
          <w:p>
            <w:pPr>
              <w:pStyle w:val="0"/>
              <w:autoSpaceDN w:val="1"/>
              <w:spacing w:before="136" w:beforeLines="50" w:beforeAutospacing="0" w:line="240" w:lineRule="auto"/>
              <w:ind w:left="0" w:leftChars="0" w:right="0" w:rightChars="0" w:firstLine="0" w:firstLineChars="0"/>
              <w:rPr>
                <w:rFonts w:hint="eastAsia" w:ascii="ＭＳ ゴシック" w:hAnsi="ＭＳ ゴシック" w:eastAsia="ＭＳ ゴシック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w w:val="100"/>
                <w:sz w:val="21"/>
              </w:rPr>
              <w:t>　</w:t>
            </w:r>
            <w:r>
              <w:rPr>
                <w:rFonts w:hint="eastAsia" w:ascii="ＭＳ ゴシック" w:hAnsi="ＭＳ ゴシック" w:eastAsia="ＭＳ ゴシック"/>
                <w:color w:val="auto"/>
                <w:sz w:val="21"/>
              </w:rPr>
              <w:t>（２）計画</w:t>
            </w:r>
            <w:r>
              <w:rPr>
                <w:rFonts w:hint="eastAsia" w:eastAsia="ＭＳ ゴシック"/>
                <w:color w:val="auto"/>
                <w:sz w:val="21"/>
              </w:rPr>
              <w:t>期間　</w:t>
            </w:r>
            <w:r>
              <w:rPr>
                <w:rFonts w:hint="eastAsia"/>
                <w:color w:val="auto"/>
                <w:sz w:val="21"/>
              </w:rPr>
              <w:t>令和８年度から</w:t>
            </w:r>
            <w:r>
              <w:rPr>
                <w:rFonts w:hint="eastAsia"/>
                <w:color w:val="auto"/>
                <w:sz w:val="21"/>
              </w:rPr>
              <w:t>10</w:t>
            </w:r>
            <w:r>
              <w:rPr>
                <w:rFonts w:hint="eastAsia"/>
                <w:color w:val="auto"/>
                <w:sz w:val="21"/>
              </w:rPr>
              <w:t>年度まで（教育振興基本計画の最終年度まで）</w:t>
            </w:r>
          </w:p>
          <w:p>
            <w:pPr>
              <w:pStyle w:val="0"/>
              <w:autoSpaceDN w:val="1"/>
              <w:spacing w:before="136" w:beforeLines="50" w:beforeAutospacing="0" w:line="240" w:lineRule="auto"/>
              <w:ind w:left="0" w:leftChars="0" w:right="0" w:rightChars="0" w:firstLine="0" w:firstLineChars="0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  <w:r>
              <w:rPr>
                <w:rFonts w:hint="eastAsia" w:eastAsia="ＭＳ ゴシック"/>
                <w:color w:val="auto"/>
                <w:sz w:val="21"/>
              </w:rPr>
              <w:t>（３）計画体系</w:t>
            </w:r>
          </w:p>
          <w:p>
            <w:pPr>
              <w:pStyle w:val="0"/>
              <w:spacing w:line="0" w:lineRule="atLeast"/>
              <w:ind w:firstLine="644" w:firstLineChars="300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Ⅰ　ＩＣＴを活用した児童生徒の資質・能力の育成</w:t>
            </w:r>
          </w:p>
          <w:p>
            <w:pPr>
              <w:pStyle w:val="0"/>
              <w:spacing w:line="0" w:lineRule="atLeast"/>
              <w:ind w:left="0" w:leftChars="0" w:firstLine="858" w:firstLineChars="400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ア　情報技術を活用する能力の育成</w:t>
            </w:r>
          </w:p>
          <w:p>
            <w:pPr>
              <w:pStyle w:val="0"/>
              <w:spacing w:line="0" w:lineRule="atLeast"/>
              <w:ind w:left="0" w:leftChars="0" w:firstLine="858" w:firstLineChars="400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イ　情報技術の適切な取扱いができる能力の育成</w:t>
            </w:r>
          </w:p>
          <w:p>
            <w:pPr>
              <w:pStyle w:val="0"/>
              <w:spacing w:line="0" w:lineRule="atLeast"/>
              <w:ind w:left="0" w:leftChars="0" w:firstLine="858" w:firstLineChars="400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ウ　情報技術の特性の理解の向上</w:t>
            </w:r>
          </w:p>
          <w:p>
            <w:pPr>
              <w:pStyle w:val="0"/>
              <w:spacing w:line="0" w:lineRule="atLeast"/>
              <w:ind w:firstLine="644" w:firstLineChars="300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Ⅱ　教員のＩＣＴ活用指導力の向上と人材の確保</w:t>
            </w:r>
          </w:p>
          <w:p>
            <w:pPr>
              <w:pStyle w:val="0"/>
              <w:spacing w:line="0" w:lineRule="atLeast"/>
              <w:ind w:firstLine="858" w:firstLineChars="400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ア　教員のＩＣＴ活用指導力の向上</w:t>
            </w:r>
          </w:p>
          <w:p>
            <w:pPr>
              <w:pStyle w:val="0"/>
              <w:spacing w:line="0" w:lineRule="atLeast"/>
              <w:ind w:firstLine="858" w:firstLineChars="400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イ　ＩＣＴ運用サポート等による学校現場支援</w:t>
            </w:r>
          </w:p>
          <w:p>
            <w:pPr>
              <w:pStyle w:val="0"/>
              <w:spacing w:line="0" w:lineRule="atLeast"/>
              <w:ind w:firstLine="644" w:firstLineChars="300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Ⅲ　ＩＣＴを活用するための環境の整備</w:t>
            </w:r>
          </w:p>
          <w:p>
            <w:pPr>
              <w:pStyle w:val="0"/>
              <w:spacing w:line="0" w:lineRule="atLeast"/>
              <w:ind w:firstLine="858" w:firstLineChars="400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ア　１人１台端末の安定した通信環境等の確保</w:t>
            </w:r>
          </w:p>
          <w:p>
            <w:pPr>
              <w:pStyle w:val="0"/>
              <w:spacing w:line="0" w:lineRule="atLeast"/>
              <w:ind w:firstLine="858" w:firstLineChars="400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イ　教育データの標準化・相互運用</w:t>
            </w:r>
          </w:p>
          <w:p>
            <w:pPr>
              <w:pStyle w:val="0"/>
              <w:spacing w:line="0" w:lineRule="atLeast"/>
              <w:ind w:firstLine="858" w:firstLineChars="400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ウ　情報セキュリティ対策の徹底</w:t>
            </w:r>
          </w:p>
          <w:p>
            <w:pPr>
              <w:pStyle w:val="0"/>
              <w:spacing w:line="0" w:lineRule="atLeast"/>
              <w:ind w:firstLine="644" w:firstLineChars="300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Ⅳ　教職員と児童生徒のウェルビーイングを実現するＩＣＴの活用と推進</w:t>
            </w:r>
          </w:p>
          <w:p>
            <w:pPr>
              <w:pStyle w:val="0"/>
              <w:spacing w:line="0" w:lineRule="atLeast"/>
              <w:ind w:firstLine="858" w:firstLineChars="400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ア　ＩＣＴの校務効率化への活用を通じた教職員の負担軽減</w:t>
            </w:r>
          </w:p>
          <w:p>
            <w:pPr>
              <w:pStyle w:val="0"/>
              <w:spacing w:line="0" w:lineRule="atLeast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　　　　イ　誰一人取り残さない学びのためのＩＣＴ活用の推進</w:t>
            </w:r>
          </w:p>
          <w:p>
            <w:pPr>
              <w:pStyle w:val="0"/>
              <w:spacing w:line="0" w:lineRule="atLeast"/>
              <w:ind w:firstLine="858" w:firstLineChars="400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ウ　市町との連携の推進</w:t>
            </w:r>
          </w:p>
          <w:p>
            <w:pPr>
              <w:pStyle w:val="0"/>
              <w:spacing w:line="0" w:lineRule="atLeast"/>
              <w:rPr>
                <w:rFonts w:hint="eastAsia" w:eastAsia="ＭＳ 明朝"/>
                <w:color w:val="auto"/>
                <w:sz w:val="21"/>
                <w:u w:val="none" w:color="auto"/>
              </w:rPr>
            </w:pPr>
          </w:p>
        </w:tc>
      </w:tr>
    </w:tbl>
    <w:p>
      <w:pPr>
        <w:pStyle w:val="0"/>
        <w:spacing w:line="0" w:lineRule="atLeast"/>
        <w:rPr>
          <w:rFonts w:hint="default" w:eastAsia="ＭＳ 明朝"/>
          <w:color w:val="auto"/>
          <w:sz w:val="21"/>
          <w:u w:val="none" w:color="auto"/>
        </w:rPr>
      </w:pPr>
    </w:p>
    <w:p>
      <w:pPr>
        <w:pStyle w:val="0"/>
        <w:spacing w:line="0" w:lineRule="atLeast"/>
        <w:rPr>
          <w:rFonts w:hint="eastAsia"/>
        </w:rPr>
      </w:pPr>
    </w:p>
    <w:sectPr>
      <w:footerReference r:id="rId5" w:type="default"/>
      <w:endnotePr>
        <w:numStart w:val="0"/>
      </w:endnotePr>
      <w:pgSz w:w="11906" w:h="16838"/>
      <w:pgMar w:top="850" w:right="1134" w:bottom="851" w:left="1134" w:header="851" w:footer="326" w:gutter="0"/>
      <w:pgNumType w:start="1"/>
      <w:cols w:space="720"/>
      <w:textDirection w:val="lrTb"/>
      <w:docGrid w:type="linesAndChars" w:linePitch="272" w:charSpace="50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102"/>
  <w:drawingGridVerticalSpacing w:val="271"/>
  <w:displayHorizontalDrawingGridEvery w:val="0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ＭＳ 明朝" w:eastAsia="ｺﾞｼｯｸ"/>
      <w:spacing w:val="1"/>
      <w:kern w:val="2"/>
      <w:sz w:val="20"/>
    </w:rPr>
  </w:style>
  <w:style w:type="paragraph" w:styleId="3">
    <w:name w:val="heading 3"/>
    <w:basedOn w:val="0"/>
    <w:next w:val="23"/>
    <w:link w:val="0"/>
    <w:uiPriority w:val="0"/>
    <w:qFormat/>
    <w:pPr>
      <w:keepNext w:val="1"/>
      <w:ind w:left="851"/>
      <w:outlineLvl w:val="2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1"/>
      <w:autoSpaceDN w:val="1"/>
      <w:spacing w:line="240" w:lineRule="auto"/>
      <w:ind w:left="195" w:hanging="220"/>
    </w:pPr>
    <w:rPr>
      <w:rFonts w:eastAsia="ＭＳ 明朝"/>
      <w:spacing w:val="-4"/>
      <w:sz w:val="22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autoSpaceDE w:val="1"/>
      <w:autoSpaceDN w:val="1"/>
      <w:snapToGrid w:val="0"/>
      <w:spacing w:line="240" w:lineRule="auto"/>
    </w:pPr>
    <w:rPr>
      <w:rFonts w:ascii="Century" w:hAnsi="Century" w:eastAsia="ＭＳ 明朝"/>
      <w:spacing w:val="0"/>
      <w:sz w:val="21"/>
    </w:rPr>
  </w:style>
  <w:style w:type="character" w:styleId="17">
    <w:name w:val="Hyperlink"/>
    <w:basedOn w:val="10"/>
    <w:next w:val="17"/>
    <w:link w:val="0"/>
    <w:uiPriority w:val="0"/>
    <w:rPr>
      <w:color w:val="0000FF"/>
      <w:u w:val="single" w:color="auto"/>
    </w:rPr>
  </w:style>
  <w:style w:type="paragraph" w:styleId="18">
    <w:name w:val="Body Text Indent 2"/>
    <w:basedOn w:val="0"/>
    <w:next w:val="18"/>
    <w:link w:val="0"/>
    <w:uiPriority w:val="0"/>
    <w:pPr>
      <w:ind w:left="412"/>
    </w:pPr>
    <w:rPr>
      <w:rFonts w:eastAsia="ＭＳ 明朝"/>
      <w:spacing w:val="-4"/>
      <w:sz w:val="21"/>
    </w:rPr>
  </w:style>
  <w:style w:type="paragraph" w:styleId="19">
    <w:name w:val="Body Text Indent 3"/>
    <w:basedOn w:val="0"/>
    <w:next w:val="19"/>
    <w:link w:val="0"/>
    <w:uiPriority w:val="0"/>
    <w:pPr>
      <w:ind w:left="602" w:hanging="190"/>
    </w:pPr>
    <w:rPr>
      <w:rFonts w:eastAsia="ＭＳ 明朝"/>
      <w:spacing w:val="-4"/>
      <w:sz w:val="21"/>
    </w:rPr>
  </w:style>
  <w:style w:type="paragraph" w:styleId="20">
    <w:name w:val="Date"/>
    <w:basedOn w:val="0"/>
    <w:next w:val="0"/>
    <w:link w:val="0"/>
    <w:uiPriority w:val="0"/>
    <w:rPr>
      <w:rFonts w:eastAsia="ＭＳ 明朝"/>
      <w:sz w:val="21"/>
    </w:rPr>
  </w:style>
  <w:style w:type="paragraph" w:styleId="21">
    <w:name w:val="Note Heading"/>
    <w:basedOn w:val="0"/>
    <w:next w:val="0"/>
    <w:link w:val="0"/>
    <w:uiPriority w:val="0"/>
    <w:pPr>
      <w:jc w:val="center"/>
    </w:pPr>
    <w:rPr>
      <w:rFonts w:eastAsia="ＭＳ 明朝"/>
      <w:sz w:val="21"/>
    </w:rPr>
  </w:style>
  <w:style w:type="paragraph" w:styleId="22">
    <w:name w:val="Closing"/>
    <w:basedOn w:val="0"/>
    <w:next w:val="0"/>
    <w:link w:val="0"/>
    <w:uiPriority w:val="0"/>
    <w:pPr>
      <w:jc w:val="right"/>
    </w:pPr>
    <w:rPr>
      <w:rFonts w:eastAsia="ＭＳ 明朝"/>
      <w:sz w:val="21"/>
    </w:rPr>
  </w:style>
  <w:style w:type="paragraph" w:styleId="23">
    <w:name w:val="Normal Indent"/>
    <w:basedOn w:val="0"/>
    <w:next w:val="23"/>
    <w:link w:val="0"/>
    <w:uiPriority w:val="0"/>
    <w:pPr>
      <w:ind w:left="851"/>
    </w:pPr>
  </w:style>
  <w:style w:type="paragraph" w:styleId="24">
    <w:name w:val="header"/>
    <w:basedOn w:val="0"/>
    <w:next w:val="2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>
    <w:name w:val="page number"/>
    <w:basedOn w:val="10"/>
    <w:next w:val="25"/>
    <w:link w:val="0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994</TotalTime>
  <Pages>1</Pages>
  <Words>11</Words>
  <Characters>841</Characters>
  <Application>JUST Note</Application>
  <Lines>70</Lines>
  <Paragraphs>45</Paragraphs>
  <Company>静岡県</Company>
  <CharactersWithSpaces>914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  号議案</dc:title>
  <dc:creator>ＦＵＪ９９０３Ｂ０４６４</dc:creator>
  <cp:lastModifiedBy>高橋　浩一</cp:lastModifiedBy>
  <cp:lastPrinted>2025-11-20T05:44:31Z</cp:lastPrinted>
  <dcterms:created xsi:type="dcterms:W3CDTF">2018-07-03T04:56:00Z</dcterms:created>
  <dcterms:modified xsi:type="dcterms:W3CDTF">2026-01-13T02:35:40Z</dcterms:modified>
  <cp:revision>64</cp:revision>
</cp:coreProperties>
</file>